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left="420" w:hanging="420"/>
        <w:spacing w:before="0" w:after="0" w:line="240" w:lineRule="auto"/>
        <w:rPr>
          <w:rFonts w:hint="eastAsia" w:ascii="宋体" w:hAnsi="宋体"/>
          <w:color w:val="4472c4"/>
          <w:highlight w:val="none"/>
        </w:rPr>
      </w:pPr>
      <w:r>
        <w:rPr>
          <w:rFonts w:hint="eastAsia" w:ascii="宋体" w:hAnsi="宋体"/>
          <w:color w:val="4472c4"/>
          <w:highlight w:val="none"/>
        </w:rPr>
      </w:r>
      <w:r/>
    </w:p>
    <w:p>
      <w:pPr>
        <w:pStyle w:val="790"/>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0"/>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0"/>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0"/>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0"/>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790"/>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240" w:lineRule="auto"/>
        <w:rPr>
          <w:rFonts w:hint="eastAsia" w:eastAsia="华文中宋"/>
          <w:b/>
          <w:bCs/>
          <w:sz w:val="32"/>
          <w:highlight w:val="none"/>
          <w:lang w:eastAsia="zh-CN"/>
        </w:rPr>
      </w:pPr>
      <w:r>
        <w:rPr>
          <w:rFonts w:hint="eastAsia" w:ascii="华文中宋" w:hAnsi="华文中宋" w:eastAsia="华文中宋"/>
          <w:b/>
          <w:bCs/>
          <w:sz w:val="36"/>
          <w:highlight w:val="none"/>
        </w:rPr>
        <w:t xml:space="preserve">项目编号：</w:t>
      </w:r>
      <w:r>
        <w:rPr>
          <w:rFonts w:hint="eastAsia" w:ascii="华文中宋" w:hAnsi="华文中宋" w:eastAsia="华文中宋"/>
          <w:b/>
          <w:bCs/>
          <w:sz w:val="36"/>
          <w:highlight w:val="none"/>
          <w:lang w:eastAsia="zh-CN"/>
        </w:rPr>
        <w:t xml:space="preserve">JSZC-320000-JSSZ-G2026-0021</w:t>
      </w:r>
      <w:r>
        <w:rPr>
          <w:rFonts w:hint="eastAsia" w:eastAsia="华文中宋"/>
          <w:b/>
          <w:bCs/>
          <w:sz w:val="32"/>
          <w:highlight w:val="none"/>
          <w:lang w:eastAsia="zh-CN"/>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left="479" w:firstLine="64"/>
        <w:spacing w:before="0" w:after="0" w:line="480" w:lineRule="auto"/>
        <w:rPr>
          <w:rFonts w:hint="eastAsia"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sz w:val="36"/>
          <w:highlight w:val="none"/>
        </w:rPr>
        <w:t xml:space="preserve">项目名称：江苏省市场监督管理局特种设备行政许可</w:t>
      </w:r>
      <w:r>
        <w:rPr>
          <w:rFonts w:hint="eastAsia" w:ascii="华文中宋" w:hAnsi="华文中宋" w:eastAsia="华文中宋"/>
          <w:b/>
          <w:bCs/>
          <w:sz w:val="36"/>
          <w:highlight w:val="none"/>
        </w:rPr>
      </w:r>
      <w:r/>
    </w:p>
    <w:p>
      <w:pPr>
        <w:pStyle w:val="790"/>
        <w:ind w:left="479" w:firstLine="97"/>
        <w:spacing w:before="0" w:after="0" w:line="480" w:lineRule="auto"/>
        <w:rPr>
          <w:rFonts w:hint="eastAsia" w:ascii="华文中宋" w:hAnsi="华文中宋" w:eastAsia="华文中宋"/>
          <w:b/>
          <w:bCs/>
          <w:sz w:val="36"/>
          <w:highlight w:val="none"/>
          <w:u w:val="single"/>
        </w:rPr>
      </w:pPr>
      <w:r>
        <w:rPr>
          <w:rFonts w:hint="eastAsia" w:ascii="华文中宋" w:hAnsi="华文中宋" w:eastAsia="华文中宋"/>
          <w:b/>
          <w:bCs/>
          <w:sz w:val="36"/>
          <w:highlight w:val="none"/>
          <w:u w:val="single"/>
        </w:rPr>
        <w:t xml:space="preserve">鉴定评审技术服务</w:t>
      </w:r>
      <w:r>
        <w:rPr>
          <w:rFonts w:hint="eastAsia" w:ascii="华文中宋" w:hAnsi="华文中宋" w:eastAsia="华文中宋"/>
          <w:b/>
          <w:bCs/>
          <w:sz w:val="36"/>
          <w:highlight w:val="none"/>
          <w:u w:val="single"/>
        </w:rPr>
      </w:r>
      <w:r/>
    </w:p>
    <w:p>
      <w:pPr>
        <w:pStyle w:val="790"/>
        <w:ind w:left="630" w:firstLine="0"/>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highlight w:val="none"/>
        </w:rPr>
        <w:t xml:space="preserve">采 购 人：江苏省市场监督管理局 </w:t>
      </w:r>
      <w:r>
        <w:rPr>
          <w:rFonts w:ascii="华文中宋" w:hAnsi="华文中宋" w:eastAsia="华文中宋"/>
          <w:b/>
          <w:bCs/>
          <w:sz w:val="36"/>
          <w:highlight w:val="none"/>
        </w:rPr>
        <w:t xml:space="preserve">      </w:t>
      </w:r>
      <w:r>
        <w:rPr>
          <w:rFonts w:ascii="华文中宋" w:hAnsi="华文中宋" w:eastAsia="华文中宋"/>
          <w:b/>
          <w:bCs/>
          <w:sz w:val="36"/>
          <w:highlight w:val="none"/>
          <w:u w:val="single"/>
        </w:rPr>
      </w:r>
      <w:r/>
    </w:p>
    <w:p>
      <w:pPr>
        <w:pStyle w:val="790"/>
        <w:ind w:left="630" w:firstLine="0"/>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t xml:space="preserve">采购代理：江苏苏咨工程咨询有限责任公司</w:t>
      </w:r>
      <w:r>
        <w:rPr>
          <w:rFonts w:ascii="华文中宋" w:hAnsi="华文中宋" w:eastAsia="华文中宋"/>
          <w:b/>
          <w:bCs/>
          <w:sz w:val="36"/>
          <w:highlight w:val="none"/>
        </w:rPr>
      </w:r>
      <w:r/>
    </w:p>
    <w:p>
      <w:pPr>
        <w:pStyle w:val="790"/>
        <w:ind w:firstLine="0"/>
        <w:jc w:val="center"/>
        <w:spacing w:before="0" w:after="0" w:line="300" w:lineRule="exact"/>
        <w:rPr>
          <w:rFonts w:ascii="华文中宋" w:hAnsi="华文中宋" w:eastAsia="华文中宋"/>
          <w:b/>
          <w:bCs/>
          <w:sz w:val="36"/>
          <w:highlight w:val="none"/>
        </w:rPr>
      </w:pPr>
      <w:r>
        <w:rPr>
          <w:rFonts w:ascii="华文中宋" w:hAnsi="华文中宋" w:eastAsia="华文中宋"/>
          <w:b/>
          <w:bCs/>
          <w:sz w:val="36"/>
          <w:highlight w:val="none"/>
        </w:rPr>
      </w:r>
      <w:r/>
    </w:p>
    <w:p>
      <w:pPr>
        <w:pStyle w:val="790"/>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二零二六年四月</w:t>
      </w:r>
      <w:r>
        <w:rPr>
          <w:rFonts w:ascii="华文中宋" w:hAnsi="华文中宋" w:eastAsia="华文中宋"/>
          <w:b/>
          <w:bCs/>
          <w:sz w:val="36"/>
          <w:highlight w:val="none"/>
        </w:rPr>
      </w:r>
      <w:r/>
    </w:p>
    <w:p>
      <w:pPr>
        <w:pStyle w:val="685"/>
        <w:jc w:val="center"/>
        <w:rPr>
          <w:rFonts w:ascii="华文中宋" w:hAnsi="华文中宋" w:eastAsia="华文中宋"/>
          <w:b/>
          <w:bCs/>
          <w:sz w:val="36"/>
          <w:szCs w:val="36"/>
          <w:highlight w:val="none"/>
        </w:rPr>
      </w:pPr>
      <w:r/>
      <w:bookmarkStart w:id="0" w:name="_Toc8484864"/>
      <w:r/>
      <w:bookmarkStart w:id="1" w:name="_Toc8482900"/>
      <w:r/>
      <w:bookmarkStart w:id="2" w:name="_Toc8485109"/>
      <w:r/>
      <w:bookmarkStart w:id="3" w:name="_Toc120614210"/>
      <w:r/>
      <w:bookmarkStart w:id="4" w:name="_Toc513029200"/>
      <w:r/>
      <w:bookmarkStart w:id="5" w:name="_Toc16938516"/>
      <w:r/>
      <w:bookmarkStart w:id="6" w:name="_Toc20823272"/>
      <w:r/>
      <w:bookmarkStart w:id="7" w:name="_Toc523127445"/>
      <w:r/>
      <w:bookmarkStart w:id="8" w:name="_Toc479757206"/>
      <w:r>
        <w:rPr>
          <w:highlight w:val="none"/>
        </w:rPr>
        <w:br w:type="page" w:clear="all"/>
      </w:r>
      <w:bookmarkStart w:id="9"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  录</w:t>
      </w:r>
      <w:bookmarkEnd w:id="0"/>
      <w:r/>
      <w:bookmarkEnd w:id="1"/>
      <w:r/>
      <w:bookmarkEnd w:id="2"/>
      <w:r/>
      <w:bookmarkEnd w:id="9"/>
      <w:r>
        <w:rPr>
          <w:rFonts w:ascii="华文中宋" w:hAnsi="华文中宋" w:eastAsia="华文中宋"/>
          <w:b/>
          <w:bCs/>
          <w:sz w:val="36"/>
          <w:szCs w:val="36"/>
          <w:highlight w:val="none"/>
        </w:rPr>
      </w:r>
      <w:r/>
    </w:p>
    <w:p>
      <w:pPr>
        <w:pStyle w:val="847"/>
        <w:ind w:firstLine="721"/>
        <w:tabs>
          <w:tab w:val="right" w:pos="9440" w:leader="dot"/>
        </w:tabs>
        <w:rPr>
          <w:rFonts w:ascii="华文中宋" w:hAnsi="华文中宋" w:eastAsia="华文中宋"/>
          <w:b w:val="0"/>
          <w:sz w:val="36"/>
          <w:szCs w:val="36"/>
          <w:highlight w:val="none"/>
        </w:rPr>
      </w:pPr>
      <w:r/>
      <w:bookmarkStart w:id="10" w:name="_Toc8485110"/>
      <w:r/>
      <w:bookmarkStart w:id="11" w:name="_Toc9363424"/>
      <w:r>
        <w:rPr>
          <w:rFonts w:ascii="华文中宋" w:hAnsi="华文中宋" w:eastAsia="华文中宋"/>
          <w:b w:val="0"/>
          <w:sz w:val="36"/>
          <w:szCs w:val="36"/>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caps/>
          <w:sz w:val="18"/>
          <w:szCs w:val="18"/>
          <w:highlight w:val="none"/>
        </w:rPr>
        <w:fldChar w:fldCharType="begin"/>
      </w:r>
      <w:r>
        <w:rPr>
          <w:rFonts w:hint="eastAsia" w:ascii="宋体" w:hAnsi="宋体" w:cs="宋体"/>
          <w:b/>
          <w:bCs/>
          <w:caps/>
          <w:sz w:val="18"/>
          <w:szCs w:val="18"/>
          <w:highlight w:val="none"/>
        </w:rPr>
        <w:instrText xml:space="preserve"> TOC \o "1-2" \h \z \u </w:instrText>
      </w:r>
      <w:r>
        <w:rPr>
          <w:rFonts w:hint="eastAsia" w:ascii="宋体" w:hAnsi="宋体" w:cs="宋体"/>
          <w:b/>
          <w:bCs/>
          <w:caps/>
          <w:sz w:val="18"/>
          <w:szCs w:val="18"/>
          <w:highlight w:val="none"/>
        </w:rPr>
        <w:fldChar w:fldCharType="separate"/>
      </w:r>
      <w:r>
        <w:rPr>
          <w:rFonts w:hint="eastAsia" w:ascii="宋体" w:hAnsi="宋体" w:cs="宋体"/>
          <w:b/>
          <w:bCs/>
          <w:caps/>
          <w:szCs w:val="18"/>
          <w:highlight w:val="none"/>
        </w:rPr>
        <w:fldChar w:fldCharType="begin"/>
      </w:r>
      <w:r>
        <w:rPr>
          <w:rFonts w:hint="eastAsia" w:ascii="宋体" w:hAnsi="宋体" w:cs="宋体"/>
          <w:b/>
          <w:bCs/>
          <w:caps/>
          <w:szCs w:val="18"/>
          <w:highlight w:val="none"/>
        </w:rPr>
        <w:instrText xml:space="preserve"> HYPERLINK \l _Toc19086 </w:instrText>
      </w:r>
      <w:r>
        <w:rPr>
          <w:rFonts w:hint="eastAsia" w:ascii="宋体" w:hAnsi="宋体" w:cs="宋体"/>
          <w:b/>
          <w:bCs/>
          <w:caps/>
          <w:szCs w:val="18"/>
          <w:highlight w:val="none"/>
        </w:rPr>
        <w:fldChar w:fldCharType="separate"/>
      </w:r>
      <w:r>
        <w:rPr>
          <w:rFonts w:hint="eastAsia" w:ascii="宋体" w:hAnsi="宋体" w:cs="宋体"/>
          <w:b/>
          <w:bCs/>
          <w:szCs w:val="36"/>
          <w:highlight w:val="none"/>
        </w:rPr>
        <w:t xml:space="preserve">第一章 投标邀请</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_Toc19086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cap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_Toc7077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第二章 供应商须知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_Toc7077 \h </w:instrText>
      </w:r>
      <w:r>
        <w:rPr>
          <w:rFonts w:hint="eastAsia" w:ascii="宋体" w:hAnsi="宋体" w:cs="宋体"/>
          <w:b/>
          <w:bCs/>
          <w:highlight w:val="none"/>
        </w:rPr>
        <w:fldChar w:fldCharType="separate"/>
      </w:r>
      <w:r>
        <w:rPr>
          <w:rFonts w:hint="eastAsia" w:ascii="宋体" w:hAnsi="宋体" w:cs="宋体"/>
          <w:b/>
          <w:bCs/>
          <w:highlight w:val="none"/>
        </w:rPr>
        <w:t xml:space="preserve">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_Toc18345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第三章 示范合同文本</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_Toc18345 \h </w:instrText>
      </w:r>
      <w:r>
        <w:rPr>
          <w:rFonts w:hint="eastAsia" w:ascii="宋体" w:hAnsi="宋体" w:cs="宋体"/>
          <w:b/>
          <w:bCs/>
          <w:highlight w:val="none"/>
        </w:rPr>
        <w:fldChar w:fldCharType="separate"/>
      </w:r>
      <w:r>
        <w:rPr>
          <w:rFonts w:hint="eastAsia" w:ascii="宋体" w:hAnsi="宋体" w:cs="宋体"/>
          <w:b/>
          <w:bCs/>
          <w:highlight w:val="none"/>
        </w:rPr>
        <w:t xml:space="preserve">28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_Toc16724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第四章 项目需求</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_Toc16724 \h </w:instrText>
      </w:r>
      <w:r>
        <w:rPr>
          <w:rFonts w:hint="eastAsia" w:ascii="宋体" w:hAnsi="宋体" w:cs="宋体"/>
          <w:b/>
          <w:bCs/>
          <w:highlight w:val="none"/>
        </w:rPr>
        <w:fldChar w:fldCharType="separate"/>
      </w:r>
      <w:r>
        <w:rPr>
          <w:rFonts w:hint="eastAsia" w:ascii="宋体" w:hAnsi="宋体" w:cs="宋体"/>
          <w:b/>
          <w:bCs/>
          <w:highlight w:val="none"/>
        </w:rPr>
        <w:t xml:space="preserve">32</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_Toc29833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第五章 评标方法与评标标准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_Toc29833 \h </w:instrText>
      </w:r>
      <w:r>
        <w:rPr>
          <w:rFonts w:hint="eastAsia" w:ascii="宋体" w:hAnsi="宋体" w:cs="宋体"/>
          <w:b/>
          <w:bCs/>
          <w:highlight w:val="none"/>
        </w:rPr>
        <w:fldChar w:fldCharType="separate"/>
      </w:r>
      <w:r>
        <w:rPr>
          <w:rFonts w:hint="eastAsia" w:ascii="宋体" w:hAnsi="宋体" w:cs="宋体"/>
          <w:b/>
          <w:bCs/>
          <w:highlight w:val="none"/>
        </w:rPr>
        <w:t xml:space="preserve">36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_Toc4782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一、评标方法与定标原则</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_Toc4782 \h </w:instrText>
      </w:r>
      <w:r>
        <w:rPr>
          <w:rFonts w:hint="eastAsia" w:ascii="宋体" w:hAnsi="宋体" w:cs="宋体"/>
          <w:b/>
          <w:bCs/>
          <w:highlight w:val="none"/>
        </w:rPr>
        <w:fldChar w:fldCharType="separate"/>
      </w:r>
      <w:r>
        <w:rPr>
          <w:rFonts w:hint="eastAsia" w:ascii="宋体" w:hAnsi="宋体" w:cs="宋体"/>
          <w:b/>
          <w:bCs/>
          <w:highlight w:val="none"/>
        </w:rPr>
        <w:t xml:space="preserve">36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_Toc20454 </w:instrText>
      </w:r>
      <w:r>
        <w:rPr>
          <w:rFonts w:hint="eastAsia" w:ascii="宋体" w:hAnsi="宋体" w:cs="宋体"/>
          <w:b/>
          <w:bCs/>
          <w:szCs w:val="18"/>
          <w:highlight w:val="none"/>
        </w:rPr>
        <w:fldChar w:fldCharType="separate"/>
      </w:r>
      <w:r>
        <w:rPr>
          <w:rFonts w:hint="eastAsia" w:ascii="宋体" w:hAnsi="宋体" w:cs="宋体"/>
          <w:b/>
          <w:bCs/>
          <w:highlight w:val="none"/>
        </w:rPr>
        <w:t xml:space="preserve">二、评标标准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_Toc20454 \h </w:instrText>
      </w:r>
      <w:r>
        <w:rPr>
          <w:rFonts w:hint="eastAsia" w:ascii="宋体" w:hAnsi="宋体" w:cs="宋体"/>
          <w:b/>
          <w:bCs/>
          <w:highlight w:val="none"/>
        </w:rPr>
        <w:fldChar w:fldCharType="separate"/>
      </w:r>
      <w:r>
        <w:rPr>
          <w:rFonts w:hint="eastAsia" w:ascii="宋体" w:hAnsi="宋体" w:cs="宋体"/>
          <w:b/>
          <w:bCs/>
          <w:highlight w:val="none"/>
        </w:rPr>
        <w:t xml:space="preserve">36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_Toc21623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三、政府采购政策功能落实</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_Toc21623 \h </w:instrText>
      </w:r>
      <w:r>
        <w:rPr>
          <w:rFonts w:hint="eastAsia" w:ascii="宋体" w:hAnsi="宋体" w:cs="宋体"/>
          <w:b/>
          <w:bCs/>
          <w:highlight w:val="none"/>
        </w:rPr>
        <w:fldChar w:fldCharType="separate"/>
      </w:r>
      <w:r>
        <w:rPr>
          <w:rFonts w:hint="eastAsia" w:ascii="宋体" w:hAnsi="宋体" w:cs="宋体"/>
          <w:b/>
          <w:bCs/>
          <w:highlight w:val="none"/>
        </w:rPr>
        <w:t xml:space="preserve">40</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_Toc18564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第六章 投标文件格式</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_Toc18564 \h </w:instrText>
      </w:r>
      <w:r>
        <w:rPr>
          <w:rFonts w:hint="eastAsia" w:ascii="宋体" w:hAnsi="宋体" w:cs="宋体"/>
          <w:b/>
          <w:bCs/>
          <w:highlight w:val="none"/>
        </w:rPr>
        <w:fldChar w:fldCharType="separate"/>
      </w:r>
      <w:r>
        <w:rPr>
          <w:rFonts w:hint="eastAsia" w:ascii="宋体" w:hAnsi="宋体" w:cs="宋体"/>
          <w:b/>
          <w:bCs/>
          <w:highlight w:val="none"/>
        </w:rPr>
        <w:t xml:space="preserve">44</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_Toc974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一、评分索引表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_Toc974 \h </w:instrText>
      </w:r>
      <w:r>
        <w:rPr>
          <w:rFonts w:hint="eastAsia" w:ascii="宋体" w:hAnsi="宋体" w:cs="宋体"/>
          <w:b/>
          <w:bCs/>
          <w:highlight w:val="none"/>
        </w:rPr>
        <w:fldChar w:fldCharType="separate"/>
      </w:r>
      <w:r>
        <w:rPr>
          <w:rFonts w:hint="eastAsia" w:ascii="宋体" w:hAnsi="宋体" w:cs="宋体"/>
          <w:b/>
          <w:bCs/>
          <w:highlight w:val="none"/>
        </w:rPr>
        <w:t xml:space="preserve">46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_Toc30092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二、资格审查响应对照表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_Toc30092 \h </w:instrText>
      </w:r>
      <w:r>
        <w:rPr>
          <w:rFonts w:hint="eastAsia" w:ascii="宋体" w:hAnsi="宋体" w:cs="宋体"/>
          <w:b/>
          <w:bCs/>
          <w:highlight w:val="none"/>
        </w:rPr>
        <w:fldChar w:fldCharType="separate"/>
      </w:r>
      <w:r>
        <w:rPr>
          <w:rFonts w:hint="eastAsia" w:ascii="宋体" w:hAnsi="宋体" w:cs="宋体"/>
          <w:b/>
          <w:bCs/>
          <w:highlight w:val="none"/>
        </w:rPr>
        <w:t xml:space="preserve">47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_Toc14258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三、符合性审查响应对照表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_Toc14258 \h </w:instrText>
      </w:r>
      <w:r>
        <w:rPr>
          <w:rFonts w:hint="eastAsia" w:ascii="宋体" w:hAnsi="宋体" w:cs="宋体"/>
          <w:b/>
          <w:bCs/>
          <w:highlight w:val="none"/>
        </w:rPr>
        <w:fldChar w:fldCharType="separate"/>
      </w:r>
      <w:r>
        <w:rPr>
          <w:rFonts w:hint="eastAsia" w:ascii="宋体" w:hAnsi="宋体" w:cs="宋体"/>
          <w:b/>
          <w:bCs/>
          <w:highlight w:val="none"/>
        </w:rPr>
        <w:t xml:space="preserve">48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_Toc25744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四、开标一览表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_Toc25744 \h </w:instrText>
      </w:r>
      <w:r>
        <w:rPr>
          <w:rFonts w:hint="eastAsia" w:ascii="宋体" w:hAnsi="宋体" w:cs="宋体"/>
          <w:b/>
          <w:bCs/>
          <w:highlight w:val="none"/>
        </w:rPr>
        <w:fldChar w:fldCharType="separate"/>
      </w:r>
      <w:r>
        <w:rPr>
          <w:rFonts w:hint="eastAsia" w:ascii="宋体" w:hAnsi="宋体" w:cs="宋体"/>
          <w:b/>
          <w:bCs/>
          <w:highlight w:val="none"/>
        </w:rPr>
        <w:t xml:space="preserve">53</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_Toc6067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五、分项报价表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_Toc6067 \h </w:instrText>
      </w:r>
      <w:r>
        <w:rPr>
          <w:rFonts w:hint="eastAsia" w:ascii="宋体" w:hAnsi="宋体" w:cs="宋体"/>
          <w:b/>
          <w:bCs/>
          <w:highlight w:val="none"/>
        </w:rPr>
        <w:fldChar w:fldCharType="separate"/>
      </w:r>
      <w:r>
        <w:rPr>
          <w:rFonts w:hint="eastAsia" w:ascii="宋体" w:hAnsi="宋体" w:cs="宋体"/>
          <w:b/>
          <w:bCs/>
          <w:highlight w:val="none"/>
        </w:rPr>
        <w:t xml:space="preserve">54</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_Toc22021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六、技术响应偏离表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_Toc22021 \h </w:instrText>
      </w:r>
      <w:r>
        <w:rPr>
          <w:rFonts w:hint="eastAsia" w:ascii="宋体" w:hAnsi="宋体" w:cs="宋体"/>
          <w:b/>
          <w:bCs/>
          <w:highlight w:val="none"/>
        </w:rPr>
        <w:fldChar w:fldCharType="separate"/>
      </w:r>
      <w:r>
        <w:rPr>
          <w:rFonts w:hint="eastAsia" w:ascii="宋体" w:hAnsi="宋体" w:cs="宋体"/>
          <w:b/>
          <w:bCs/>
          <w:highlight w:val="none"/>
        </w:rPr>
        <w:t xml:space="preserve">55</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tabs>
          <w:tab w:val="right" w:pos="9185" w:leader="dot"/>
        </w:tabs>
        <w:rPr>
          <w:rFonts w:hint="eastAsia" w:ascii="宋体" w:hAnsi="宋体" w:cs="宋体"/>
          <w:b/>
          <w:bCs/>
          <w:highlight w:val="none"/>
        </w:rPr>
      </w:pPr>
      <w:r>
        <w:rPr>
          <w:rFonts w:hint="eastAsia" w:ascii="宋体" w:hAnsi="宋体" w:cs="宋体"/>
          <w:b/>
          <w:bCs/>
          <w:highlight w:val="none"/>
        </w:rPr>
      </w:r>
      <w:r/>
    </w:p>
    <w:p>
      <w:pPr>
        <w:pStyle w:val="685"/>
        <w:spacing w:line="360" w:lineRule="auto"/>
        <w:rPr>
          <w:rFonts w:hint="eastAsia"/>
          <w:highlight w:val="none"/>
        </w:rPr>
      </w:pPr>
      <w:r>
        <w:rPr>
          <w:rFonts w:hint="eastAsia" w:ascii="宋体" w:hAnsi="宋体" w:cs="宋体"/>
          <w:b/>
          <w:bCs/>
          <w:szCs w:val="18"/>
          <w:highlight w:val="none"/>
        </w:rPr>
        <w:fldChar w:fldCharType="end"/>
      </w:r>
      <w:r>
        <w:rPr>
          <w:rFonts w:hint="eastAsia"/>
          <w:highlight w:val="none"/>
        </w:rPr>
      </w:r>
      <w:r/>
    </w:p>
    <w:p>
      <w:pPr>
        <w:pStyle w:val="686"/>
        <w:jc w:val="center"/>
        <w:spacing w:before="291" w:after="291"/>
        <w:rPr>
          <w:rFonts w:ascii="华文中宋" w:hAnsi="华文中宋" w:eastAsia="华文中宋"/>
          <w:b/>
          <w:bCs/>
          <w:sz w:val="36"/>
          <w:szCs w:val="36"/>
          <w:highlight w:val="none"/>
        </w:rPr>
      </w:pPr>
      <w:r>
        <w:rPr>
          <w:highlight w:val="none"/>
        </w:rPr>
        <w:br w:type="page" w:clear="all"/>
      </w:r>
      <w:bookmarkStart w:id="12" w:name="_Toc12887259"/>
      <w:r/>
      <w:bookmarkStart w:id="13" w:name="_Toc19086"/>
      <w:r/>
      <w:bookmarkStart w:id="14" w:name="_Toc12708969"/>
      <w:r>
        <w:rPr>
          <w:rFonts w:hint="eastAsia" w:ascii="华文中宋" w:hAnsi="华文中宋" w:eastAsia="华文中宋"/>
          <w:b/>
          <w:sz w:val="36"/>
          <w:szCs w:val="36"/>
          <w:highlight w:val="none"/>
        </w:rPr>
        <w:t xml:space="preserve">第一章</w:t>
      </w:r>
      <w:bookmarkEnd w:id="3"/>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华文中宋" w:hAnsi="华文中宋" w:eastAsia="华文中宋"/>
          <w:b/>
          <w:bCs/>
          <w:sz w:val="36"/>
          <w:szCs w:val="36"/>
          <w:highlight w:val="none"/>
        </w:rPr>
      </w:r>
      <w:r/>
    </w:p>
    <w:p>
      <w:pPr>
        <w:pStyle w:val="685"/>
        <w:ind w:firstLine="480"/>
        <w:spacing w:line="360" w:lineRule="auto"/>
        <w:rPr>
          <w:rFonts w:ascii="宋体" w:hAnsi="宋体"/>
          <w:bCs/>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rPr>
        <w:t xml:space="preserve">江苏省市场监督管理局</w:t>
      </w:r>
      <w:r>
        <w:rPr>
          <w:rFonts w:hint="eastAsia" w:ascii="宋体" w:hAnsi="宋体"/>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rPr>
        <w:t xml:space="preserve">江苏省市场监督管理局特种设备行政许可鉴定评审技术服务</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潜在供应商</w:t>
      </w:r>
      <w:r>
        <w:rPr>
          <w:rFonts w:hint="eastAsia" w:ascii="宋体" w:hAnsi="宋体" w:cs="宋体"/>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sz w:val="24"/>
          <w:highlight w:val="none"/>
        </w:rPr>
        <w:t xml:space="preserve"> 获取</w:t>
      </w:r>
      <w:r>
        <w:rPr>
          <w:rFonts w:hint="eastAsia" w:ascii="宋体" w:hAnsi="宋体"/>
          <w:bCs/>
          <w:color w:val="000000"/>
          <w:sz w:val="24"/>
          <w:highlight w:val="none"/>
        </w:rPr>
        <w:t xml:space="preserve">招标文件，</w:t>
      </w:r>
      <w:r>
        <w:rPr>
          <w:rFonts w:hint="eastAsia" w:ascii="宋体" w:hAnsi="宋体"/>
          <w:bCs/>
          <w:color w:val="000000"/>
          <w:sz w:val="24"/>
          <w:highlight w:val="yellow"/>
        </w:rPr>
        <w:t xml:space="preserve">并于</w:t>
      </w:r>
      <w:r>
        <w:rPr>
          <w:rFonts w:ascii="宋体" w:hAnsi="宋体"/>
          <w:bCs/>
          <w:color w:val="000000"/>
          <w:sz w:val="24"/>
          <w:highlight w:val="yellow"/>
        </w:rPr>
        <w:t xml:space="preserve">20</w:t>
      </w:r>
      <w:r>
        <w:rPr>
          <w:rFonts w:hint="eastAsia" w:ascii="宋体" w:hAnsi="宋体"/>
          <w:bCs/>
          <w:color w:val="000000"/>
          <w:sz w:val="24"/>
          <w:highlight w:val="yellow"/>
        </w:rPr>
        <w:t xml:space="preserve">26年</w:t>
      </w:r>
      <w:r>
        <w:rPr>
          <w:rFonts w:hint="eastAsia" w:ascii="宋体" w:hAnsi="宋体"/>
          <w:bCs/>
          <w:color w:val="000000"/>
          <w:sz w:val="24"/>
          <w:highlight w:val="yellow"/>
          <w:lang w:val="en-US" w:eastAsia="zh-CN"/>
        </w:rPr>
        <w:t xml:space="preserve">5</w:t>
      </w:r>
      <w:r>
        <w:rPr>
          <w:rFonts w:hint="eastAsia" w:ascii="宋体" w:hAnsi="宋体"/>
          <w:bCs/>
          <w:color w:val="000000"/>
          <w:sz w:val="24"/>
          <w:highlight w:val="yellow"/>
        </w:rPr>
        <w:t xml:space="preserve">月</w:t>
      </w:r>
      <w:r>
        <w:rPr>
          <w:rFonts w:hint="eastAsia" w:ascii="宋体" w:hAnsi="宋体"/>
          <w:bCs/>
          <w:color w:val="000000"/>
          <w:sz w:val="24"/>
          <w:highlight w:val="yellow"/>
          <w:lang w:val="en-US" w:eastAsia="zh-CN"/>
        </w:rPr>
        <w:t xml:space="preserve">1</w:t>
      </w:r>
      <w:r>
        <w:rPr>
          <w:rFonts w:hint="eastAsia" w:ascii="宋体" w:hAnsi="宋体"/>
          <w:bCs/>
          <w:color w:val="000000"/>
          <w:sz w:val="24"/>
          <w:highlight w:val="yellow"/>
          <w:lang w:val="en-US" w:eastAsia="zh-CN"/>
        </w:rPr>
        <w:t xml:space="preserve">5</w:t>
      </w:r>
      <w:r>
        <w:rPr>
          <w:rFonts w:hint="eastAsia" w:ascii="宋体" w:hAnsi="宋体"/>
          <w:bCs/>
          <w:color w:val="000000"/>
          <w:sz w:val="24"/>
          <w:highlight w:val="yellow"/>
        </w:rPr>
        <w:t xml:space="preserve">日9点30</w:t>
      </w:r>
      <w:r>
        <w:rPr>
          <w:rFonts w:ascii="宋体" w:hAnsi="宋体"/>
          <w:bCs/>
          <w:color w:val="000000"/>
          <w:sz w:val="24"/>
          <w:highlight w:val="yellow"/>
        </w:rPr>
        <w:t xml:space="preserve">分</w:t>
      </w:r>
      <w:r>
        <w:rPr>
          <w:rFonts w:hint="eastAsia" w:ascii="宋体" w:hAnsi="宋体"/>
          <w:bCs/>
          <w:color w:val="000000"/>
          <w:sz w:val="24"/>
          <w:highlight w:val="yellow"/>
        </w:rPr>
        <w:t xml:space="preserve">（北</w:t>
      </w:r>
      <w:r>
        <w:rPr>
          <w:rFonts w:hint="eastAsia" w:ascii="宋体" w:hAnsi="宋体"/>
          <w:bCs/>
          <w:sz w:val="24"/>
          <w:highlight w:val="yellow"/>
        </w:rPr>
        <w:t xml:space="preserve">京时间）</w:t>
      </w:r>
      <w:r>
        <w:rPr>
          <w:rFonts w:hint="eastAsia" w:ascii="宋体" w:hAnsi="宋体"/>
          <w:bCs/>
          <w:sz w:val="24"/>
          <w:highlight w:val="none"/>
        </w:rPr>
        <w:t xml:space="preserve">前递交投标文件。</w:t>
      </w:r>
      <w:r>
        <w:rPr>
          <w:rFonts w:ascii="宋体" w:hAnsi="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685"/>
        <w:ind w:firstLine="480"/>
        <w:spacing w:line="360" w:lineRule="auto"/>
        <w:widowControl/>
        <w:rPr>
          <w:rFonts w:hint="eastAsia" w:ascii="宋体" w:hAnsi="宋体" w:eastAsia="宋体" w:cs="宋体"/>
          <w:bCs/>
          <w:sz w:val="24"/>
          <w:highlight w:val="none"/>
          <w:lang w:eastAsia="zh-CN"/>
        </w:rPr>
      </w:pPr>
      <w:r/>
      <w:bookmarkStart w:id="16" w:name="_Hlk28680462"/>
      <w:r>
        <w:rPr>
          <w:rFonts w:ascii="宋体" w:hAnsi="宋体" w:cs="宋体"/>
          <w:bCs/>
          <w:sz w:val="24"/>
          <w:highlight w:val="none"/>
        </w:rPr>
        <w:t xml:space="preserve">1.1</w:t>
      </w:r>
      <w:r>
        <w:rPr>
          <w:rFonts w:hint="eastAsia" w:ascii="宋体" w:hAnsi="宋体" w:cs="宋体"/>
          <w:bCs/>
          <w:sz w:val="24"/>
          <w:highlight w:val="none"/>
        </w:rPr>
        <w:t xml:space="preserve">项目编</w:t>
      </w:r>
      <w:r>
        <w:rPr>
          <w:rFonts w:hint="eastAsia" w:ascii="宋体" w:hAnsi="宋体"/>
          <w:bCs/>
          <w:color w:val="000000"/>
          <w:sz w:val="24"/>
          <w:highlight w:val="none"/>
        </w:rPr>
        <w:t xml:space="preserve">号：</w:t>
      </w:r>
      <w:r>
        <w:rPr>
          <w:rFonts w:hint="eastAsia" w:ascii="宋体" w:hAnsi="宋体"/>
          <w:bCs/>
          <w:color w:val="000000"/>
          <w:sz w:val="24"/>
          <w:highlight w:val="none"/>
          <w:lang w:eastAsia="zh-CN"/>
        </w:rPr>
        <w:t xml:space="preserve">JSZC-320000-JSSZ-G2026-0021</w:t>
      </w:r>
      <w:r>
        <w:rPr>
          <w:rFonts w:hint="eastAsia" w:ascii="宋体" w:hAnsi="宋体" w:eastAsia="宋体" w:cs="宋体"/>
          <w:bCs/>
          <w:sz w:val="24"/>
          <w:highlight w:val="none"/>
          <w:lang w:eastAsia="zh-CN"/>
        </w:rPr>
      </w:r>
      <w:r/>
    </w:p>
    <w:p>
      <w:pPr>
        <w:pStyle w:val="685"/>
        <w:ind w:firstLine="480"/>
        <w:spacing w:line="360" w:lineRule="auto"/>
        <w:widowControl/>
        <w:rPr>
          <w:rFonts w:ascii="宋体" w:hAnsi="宋体" w:cs="宋体"/>
          <w:bCs/>
          <w:sz w:val="24"/>
          <w:highlight w:val="none"/>
        </w:rPr>
      </w:pPr>
      <w:r>
        <w:rPr>
          <w:rFonts w:ascii="宋体" w:hAnsi="宋体" w:cs="宋体"/>
          <w:bCs/>
          <w:sz w:val="24"/>
          <w:highlight w:val="none"/>
        </w:rPr>
        <w:t xml:space="preserve">1.2</w:t>
      </w:r>
      <w:bookmarkStart w:id="17" w:name="_Hlk88135353"/>
      <w:r>
        <w:rPr>
          <w:rFonts w:hint="eastAsia" w:ascii="宋体" w:hAnsi="宋体" w:cs="宋体"/>
          <w:bCs/>
          <w:sz w:val="24"/>
          <w:highlight w:val="none"/>
        </w:rPr>
        <w:t xml:space="preserve">项目名称：</w:t>
      </w:r>
      <w:bookmarkEnd w:id="17"/>
      <w:r>
        <w:rPr>
          <w:rFonts w:hint="eastAsia" w:ascii="宋体" w:hAnsi="宋体" w:cs="宋体"/>
          <w:bCs/>
          <w:sz w:val="24"/>
          <w:highlight w:val="none"/>
        </w:rPr>
        <w:t xml:space="preserve">江苏省市场监督管理局特种设备行政许可鉴定评审技术服务</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预算金额：3780.000000万</w:t>
      </w:r>
      <w:r>
        <w:rPr>
          <w:rFonts w:ascii="宋体" w:hAnsi="宋体" w:cs="宋体"/>
          <w:bCs/>
          <w:sz w:val="24"/>
          <w:highlight w:val="none"/>
        </w:rPr>
        <w:t xml:space="preserve">元</w:t>
      </w:r>
      <w:r>
        <w:rPr>
          <w:rFonts w:hint="eastAsia" w:ascii="宋体" w:hAnsi="宋体" w:cs="宋体"/>
          <w:bCs/>
          <w:sz w:val="24"/>
          <w:highlight w:val="none"/>
        </w:rPr>
        <w:t xml:space="preserve">（采购包1：1524.900000万元；采购包2：1263.600000万元；采购包3：499.200000万元；采购包4：216.300000万元；采购包5：276.000000万元）</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最高限价：各采购包单价最高限价：包1：7800元/家、包2：7800元/家、包3:7800元/家、包4：7000元/家、包5：8000元/家</w:t>
      </w:r>
      <w:r>
        <w:rPr>
          <w:rFonts w:ascii="宋体" w:hAnsi="宋体" w:cs="宋体"/>
          <w:bCs/>
          <w:sz w:val="24"/>
          <w:highlight w:val="none"/>
        </w:rPr>
      </w:r>
      <w:r/>
    </w:p>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w:t>
      </w:r>
      <w:bookmarkStart w:id="18" w:name="_Hlk88135376"/>
      <w:r>
        <w:rPr>
          <w:rFonts w:hint="eastAsia" w:ascii="宋体" w:hAnsi="宋体" w:cs="宋体"/>
          <w:bCs/>
          <w:sz w:val="24"/>
          <w:highlight w:val="none"/>
        </w:rPr>
        <w:t xml:space="preserve">5采购需求：</w:t>
      </w:r>
      <w:bookmarkEnd w:id="18"/>
      <w:r>
        <w:rPr>
          <w:rFonts w:hint="eastAsia" w:ascii="宋体" w:hAnsi="宋体" w:cs="宋体"/>
          <w:bCs/>
          <w:sz w:val="24"/>
          <w:highlight w:val="none"/>
        </w:rPr>
        <w:t xml:space="preserve">各采购包项目信息</w:t>
      </w:r>
      <w:r>
        <w:rPr>
          <w:rFonts w:hint="eastAsia" w:ascii="宋体" w:hAnsi="宋体" w:cs="宋体"/>
          <w:bCs/>
          <w:sz w:val="24"/>
          <w:highlight w:val="none"/>
        </w:rPr>
      </w:r>
      <w:r/>
    </w:p>
    <w:tbl>
      <w:tblPr>
        <w:tblW w:w="50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4220"/>
        <w:gridCol w:w="1106"/>
        <w:gridCol w:w="1108"/>
        <w:gridCol w:w="1336"/>
        <w:gridCol w:w="1007"/>
      </w:tblGrid>
      <w:tr>
        <w:trPr>
          <w:trHeight w:val="554"/>
        </w:trPr>
        <w:tc>
          <w:tcPr>
            <w:tcW w:w="3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217"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项目内容</w:t>
            </w:r>
            <w:r>
              <w:rPr>
                <w:rFonts w:hint="eastAsia" w:ascii="宋体" w:hAnsi="宋体" w:cs="宋体"/>
                <w:b/>
                <w:bCs/>
                <w:szCs w:val="21"/>
                <w:highlight w:val="none"/>
              </w:rPr>
            </w:r>
            <w:r/>
          </w:p>
        </w:tc>
        <w:tc>
          <w:tcPr>
            <w:tcW w:w="581"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预计服务期内任务数（家）</w:t>
            </w:r>
            <w:r>
              <w:rPr>
                <w:rFonts w:hint="eastAsia" w:ascii="宋体" w:hAnsi="宋体" w:cs="宋体"/>
                <w:b/>
                <w:bCs/>
                <w:szCs w:val="21"/>
                <w:highlight w:val="none"/>
              </w:rPr>
            </w:r>
            <w:r/>
          </w:p>
        </w:tc>
        <w:tc>
          <w:tcPr>
            <w:tcW w:w="582"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采购包</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总价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（万元）</w:t>
            </w:r>
            <w:r>
              <w:rPr>
                <w:rFonts w:hint="eastAsia" w:ascii="宋体" w:hAnsi="宋体" w:cs="宋体"/>
                <w:b/>
                <w:bCs/>
                <w:szCs w:val="21"/>
                <w:highlight w:val="none"/>
              </w:rPr>
            </w:r>
            <w:r/>
          </w:p>
        </w:tc>
        <w:tc>
          <w:tcPr>
            <w:tcW w:w="702"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单价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最高限价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（元/家）</w:t>
            </w:r>
            <w:r>
              <w:rPr>
                <w:rFonts w:hint="eastAsia" w:ascii="宋体" w:hAnsi="宋体" w:cs="宋体"/>
                <w:b/>
                <w:bCs/>
                <w:szCs w:val="21"/>
                <w:highlight w:val="none"/>
              </w:rPr>
            </w:r>
            <w:r/>
          </w:p>
        </w:tc>
        <w:tc>
          <w:tcPr>
            <w:tcW w:w="527"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是否接受联合体投标</w:t>
            </w:r>
            <w:r>
              <w:rPr>
                <w:rFonts w:hint="eastAsia" w:ascii="宋体" w:hAnsi="宋体" w:cs="宋体"/>
                <w:b/>
                <w:bCs/>
                <w:szCs w:val="21"/>
                <w:highlight w:val="none"/>
              </w:rPr>
            </w:r>
            <w:r/>
          </w:p>
        </w:tc>
      </w:tr>
      <w:tr>
        <w:trPr>
          <w:trHeight w:val="994"/>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包1</w:t>
            </w:r>
            <w:r>
              <w:rPr>
                <w:rFonts w:hint="eastAsia" w:ascii="宋体" w:hAnsi="宋体" w:cs="宋体"/>
                <w:bCs/>
                <w:szCs w:val="21"/>
                <w:highlight w:val="none"/>
              </w:rPr>
            </w:r>
            <w:r/>
          </w:p>
        </w:tc>
        <w:tc>
          <w:tcPr>
            <w:tcW w:w="2217"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承压类特种设备（锅炉、压力容器（不含气瓶）、压力管道、安全附件（不含气瓶阀门））生产单位（不涉及设计）许可鉴定评审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1955</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1524.9</w:t>
            </w:r>
            <w:r>
              <w:rPr>
                <w:rFonts w:hint="eastAsia" w:ascii="宋体" w:hAnsi="宋体" w:cs="宋体"/>
                <w:color w:val="000000"/>
                <w:sz w:val="24"/>
                <w:highlight w:val="none"/>
              </w:rPr>
            </w:r>
            <w:r/>
          </w:p>
        </w:tc>
        <w:tc>
          <w:tcPr>
            <w:tcW w:w="70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7"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1236"/>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包2</w:t>
            </w:r>
            <w:r>
              <w:rPr>
                <w:rFonts w:hint="eastAsia" w:ascii="宋体" w:hAnsi="宋体" w:cs="宋体"/>
                <w:bCs/>
                <w:szCs w:val="21"/>
                <w:highlight w:val="none"/>
              </w:rPr>
            </w:r>
            <w:r/>
          </w:p>
        </w:tc>
        <w:tc>
          <w:tcPr>
            <w:tcW w:w="2217"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机电类特种设备（起重机械、场（厂）内专用机动车辆、客运索道、电梯（仅安装、修理）、大型游乐设施（仅安装、修理））生产单位许可鉴定评审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1620</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1263.6</w:t>
            </w:r>
            <w:r>
              <w:rPr>
                <w:rFonts w:hint="eastAsia" w:ascii="宋体" w:hAnsi="宋体" w:cs="宋体"/>
                <w:color w:val="000000"/>
                <w:sz w:val="24"/>
                <w:highlight w:val="none"/>
              </w:rPr>
            </w:r>
            <w:r/>
          </w:p>
        </w:tc>
        <w:tc>
          <w:tcPr>
            <w:tcW w:w="70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7"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554"/>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包3</w:t>
            </w:r>
            <w:r>
              <w:rPr>
                <w:rFonts w:hint="eastAsia" w:ascii="宋体" w:hAnsi="宋体" w:cs="宋体"/>
                <w:bCs/>
                <w:szCs w:val="21"/>
                <w:highlight w:val="none"/>
              </w:rPr>
            </w:r>
            <w:r/>
          </w:p>
        </w:tc>
        <w:tc>
          <w:tcPr>
            <w:tcW w:w="2217"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移动式压力容器、气瓶充装单位许可鉴定评审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640</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499.2</w:t>
            </w:r>
            <w:r>
              <w:rPr>
                <w:rFonts w:hint="eastAsia" w:ascii="宋体" w:hAnsi="宋体" w:cs="宋体"/>
                <w:color w:val="000000"/>
                <w:sz w:val="24"/>
                <w:highlight w:val="none"/>
              </w:rPr>
            </w:r>
            <w:r/>
          </w:p>
        </w:tc>
        <w:tc>
          <w:tcPr>
            <w:tcW w:w="70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7"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702"/>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包4</w:t>
            </w:r>
            <w:r>
              <w:rPr>
                <w:rFonts w:hint="eastAsia" w:ascii="宋体" w:hAnsi="宋体" w:cs="宋体"/>
                <w:bCs/>
                <w:szCs w:val="21"/>
                <w:highlight w:val="none"/>
              </w:rPr>
            </w:r>
            <w:r/>
          </w:p>
        </w:tc>
        <w:tc>
          <w:tcPr>
            <w:tcW w:w="2217"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压力容器设计（含具有设计能力压力容器制造）、压力管道设计单位许可鉴定评审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309</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216.3</w:t>
            </w:r>
            <w:r>
              <w:rPr>
                <w:rFonts w:hint="eastAsia" w:ascii="宋体" w:hAnsi="宋体" w:cs="宋体"/>
                <w:color w:val="000000"/>
                <w:sz w:val="24"/>
                <w:highlight w:val="none"/>
              </w:rPr>
            </w:r>
            <w:r/>
          </w:p>
        </w:tc>
        <w:tc>
          <w:tcPr>
            <w:tcW w:w="70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7000</w:t>
            </w:r>
            <w:r>
              <w:rPr>
                <w:rFonts w:hint="eastAsia" w:ascii="宋体" w:hAnsi="宋体" w:cs="宋体"/>
                <w:color w:val="000000"/>
                <w:sz w:val="24"/>
                <w:highlight w:val="none"/>
              </w:rPr>
            </w:r>
            <w:r/>
          </w:p>
        </w:tc>
        <w:tc>
          <w:tcPr>
            <w:tcW w:w="527"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否</w:t>
            </w:r>
            <w:r>
              <w:rPr>
                <w:rFonts w:hint="eastAsia" w:ascii="宋体" w:hAnsi="宋体" w:cs="宋体"/>
                <w:color w:val="000000"/>
                <w:sz w:val="24"/>
                <w:highlight w:val="none"/>
              </w:rPr>
            </w:r>
            <w:r/>
          </w:p>
        </w:tc>
      </w:tr>
      <w:tr>
        <w:trPr>
          <w:trHeight w:val="597"/>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包5</w:t>
            </w:r>
            <w:r>
              <w:rPr>
                <w:rFonts w:hint="eastAsia" w:ascii="宋体" w:hAnsi="宋体" w:cs="宋体"/>
                <w:bCs/>
                <w:szCs w:val="21"/>
                <w:highlight w:val="none"/>
              </w:rPr>
            </w:r>
            <w:r/>
          </w:p>
        </w:tc>
        <w:tc>
          <w:tcPr>
            <w:tcW w:w="2217"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特种设备检验检测机构核准鉴定评审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345</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276</w:t>
            </w:r>
            <w:r>
              <w:rPr>
                <w:rFonts w:hint="eastAsia" w:ascii="宋体" w:hAnsi="宋体" w:cs="宋体"/>
                <w:color w:val="000000"/>
                <w:sz w:val="24"/>
                <w:highlight w:val="none"/>
              </w:rPr>
            </w:r>
            <w:r/>
          </w:p>
        </w:tc>
        <w:tc>
          <w:tcPr>
            <w:tcW w:w="70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8000</w:t>
            </w:r>
            <w:r>
              <w:rPr>
                <w:rFonts w:hint="eastAsia" w:ascii="宋体" w:hAnsi="宋体" w:cs="宋体"/>
                <w:color w:val="000000"/>
                <w:sz w:val="24"/>
                <w:highlight w:val="none"/>
              </w:rPr>
            </w:r>
            <w:r/>
          </w:p>
        </w:tc>
        <w:tc>
          <w:tcPr>
            <w:tcW w:w="527"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否</w:t>
            </w:r>
            <w:r>
              <w:rPr>
                <w:rFonts w:hint="eastAsia" w:ascii="宋体" w:hAnsi="宋体" w:cs="宋体"/>
                <w:color w:val="000000"/>
                <w:sz w:val="24"/>
                <w:highlight w:val="none"/>
              </w:rPr>
            </w:r>
            <w:r/>
          </w:p>
        </w:tc>
      </w:tr>
      <w:tr>
        <w:trPr>
          <w:trHeight w:val="544"/>
        </w:trPr>
        <w:tc>
          <w:tcPr>
            <w:gridSpan w:val="2"/>
            <w:tcW w:w="4961"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4869</w:t>
            </w:r>
            <w:r>
              <w:rPr>
                <w:rFonts w:hint="eastAsia" w:ascii="宋体" w:hAnsi="宋体" w:cs="宋体"/>
                <w:bCs/>
                <w:szCs w:val="21"/>
                <w:highlight w:val="none"/>
              </w:rPr>
            </w:r>
            <w:r/>
          </w:p>
        </w:tc>
        <w:tc>
          <w:tcPr>
            <w:tcW w:w="582"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3780</w:t>
            </w:r>
            <w:r>
              <w:rPr>
                <w:rFonts w:hint="eastAsia" w:ascii="宋体" w:hAnsi="宋体" w:cs="宋体"/>
                <w:bCs/>
                <w:szCs w:val="21"/>
                <w:highlight w:val="none"/>
              </w:rPr>
            </w:r>
            <w:r/>
          </w:p>
        </w:tc>
        <w:tc>
          <w:tcPr>
            <w:tcW w:w="702"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c>
          <w:tcPr>
            <w:tcW w:w="527"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r>
      <w:tr>
        <w:trPr>
          <w:trHeight w:val="566"/>
        </w:trPr>
        <w:tc>
          <w:tcPr>
            <w:gridSpan w:val="6"/>
            <w:tcW w:w="9518" w:type="dxa"/>
            <w:vAlign w:val="center"/>
            <w:textDirection w:val="lrTb"/>
            <w:noWrap w:val="false"/>
          </w:tcPr>
          <w:p>
            <w:pPr>
              <w:pStyle w:val="685"/>
              <w:ind w:firstLine="422"/>
              <w:rPr>
                <w:rFonts w:hint="eastAsia" w:ascii="宋体" w:hAnsi="宋体" w:cs="宋体"/>
                <w:b/>
                <w:szCs w:val="21"/>
                <w:highlight w:val="none"/>
              </w:rPr>
            </w:pPr>
            <w:r>
              <w:rPr>
                <w:rFonts w:hint="eastAsia" w:ascii="宋体" w:hAnsi="宋体" w:cs="宋体"/>
                <w:b/>
                <w:szCs w:val="21"/>
                <w:highlight w:val="none"/>
              </w:rPr>
              <w:t xml:space="preserve">注：接受联合体投标的分包，联合体成员数量不得超过3家</w:t>
            </w:r>
            <w:r>
              <w:rPr>
                <w:rFonts w:hint="eastAsia" w:ascii="宋体" w:hAnsi="宋体" w:cs="宋体"/>
                <w:b/>
                <w:szCs w:val="21"/>
                <w:highlight w:val="none"/>
              </w:rPr>
            </w:r>
            <w:r/>
          </w:p>
        </w:tc>
      </w:tr>
    </w:tbl>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根据《国务院关于第三批清理规范国务院部门行政审批中介服务事项的决定》（国发﹝2017﹞8号）、《国家质检总局关于废止修订特种设备行政许可相关安全技术规范及文件的公告》（2017年第102号），以及江苏省财政厅等四部门联合印发的《关于清理规范涉企经营服务性收费的通知》（苏价服﹝2017﹞98号）要求，江苏省市场监督管理局特种设备行政许可鉴定评审方式由申请人约请鉴定评审改为审批机关委托有关技术服务机构开展。（具体详见采购文件第四章）。</w:t>
      </w:r>
      <w:r>
        <w:rPr>
          <w:rFonts w:hint="eastAsia"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6合同履行期限：自2026年6月1日至2028年5月31日</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bookmarkStart w:id="19" w:name="_Hlk88135443"/>
      <w:r>
        <w:rPr>
          <w:rFonts w:hint="eastAsia" w:ascii="宋体" w:hAnsi="宋体" w:cs="宋体"/>
          <w:bCs/>
          <w:sz w:val="24"/>
          <w:highlight w:val="none"/>
        </w:rPr>
        <w:t xml:space="preserve">7本项目采购标的所属行业为：</w:t>
      </w:r>
      <w:bookmarkEnd w:id="19"/>
      <w:r>
        <w:rPr>
          <w:rFonts w:hint="eastAsia" w:ascii="宋体" w:hAnsi="宋体" w:cs="宋体"/>
          <w:bCs/>
          <w:sz w:val="24"/>
          <w:highlight w:val="none"/>
        </w:rPr>
        <w:t xml:space="preserve">其他未列明行业</w:t>
      </w:r>
      <w:r>
        <w:rPr>
          <w:rFonts w:ascii="宋体" w:hAnsi="宋体" w:cs="宋体"/>
          <w:bCs/>
          <w:sz w:val="24"/>
          <w:highlight w:val="none"/>
        </w:rPr>
      </w:r>
      <w:r/>
    </w:p>
    <w:p>
      <w:pPr>
        <w:pStyle w:val="685"/>
        <w:ind w:firstLine="482"/>
        <w:spacing w:line="360" w:lineRule="auto"/>
        <w:widowControl/>
        <w:rPr>
          <w:rFonts w:hint="eastAsia" w:ascii="宋体" w:hAnsi="宋体" w:cs="宋体"/>
          <w:b/>
          <w:sz w:val="24"/>
          <w:highlight w:val="none"/>
        </w:rPr>
      </w:pPr>
      <w:r/>
      <w:bookmarkEnd w:id="16"/>
      <w:r>
        <w:rPr>
          <w:rFonts w:hint="eastAsia" w:ascii="宋体" w:hAnsi="宋体" w:cs="宋体"/>
          <w:b/>
          <w:sz w:val="24"/>
          <w:highlight w:val="none"/>
        </w:rPr>
        <w:t xml:space="preserve">二、申请人的资格要求</w:t>
      </w:r>
      <w:r>
        <w:rPr>
          <w:rFonts w:hint="eastAsia" w:ascii="宋体" w:hAnsi="宋体" w:cs="宋体"/>
          <w:b/>
          <w:sz w:val="24"/>
          <w:highlight w:val="none"/>
        </w:rPr>
      </w:r>
      <w:r/>
    </w:p>
    <w:p>
      <w:pPr>
        <w:pStyle w:val="685"/>
        <w:ind w:firstLine="480"/>
        <w:spacing w:line="360" w:lineRule="auto"/>
        <w:widowControl/>
        <w:rPr>
          <w:rFonts w:ascii="宋体" w:hAnsi="宋体" w:cs="Arial"/>
          <w:sz w:val="24"/>
          <w:highlight w:val="none"/>
        </w:rPr>
      </w:pPr>
      <w:r/>
      <w:bookmarkStart w:id="20" w:name="_Hlk8392111"/>
      <w:r>
        <w:rPr>
          <w:rFonts w:hint="eastAsia" w:ascii="宋体" w:hAnsi="宋体" w:cs="宋体"/>
          <w:bCs/>
          <w:sz w:val="24"/>
          <w:highlight w:val="none"/>
        </w:rPr>
        <w:t xml:space="preserve">2.1满足《中华</w:t>
      </w:r>
      <w:r>
        <w:rPr>
          <w:rFonts w:hint="eastAsia" w:ascii="宋体" w:hAnsi="宋体" w:cs="Arial"/>
          <w:sz w:val="24"/>
          <w:highlight w:val="none"/>
        </w:rPr>
        <w:t xml:space="preserve">人民共和国政府采购法》第二十二条规定，并提供下列材料：</w:t>
      </w:r>
      <w:r>
        <w:rPr>
          <w:rFonts w:ascii="宋体" w:hAnsi="宋体" w:cs="Arial"/>
          <w:sz w:val="24"/>
          <w:highlight w:val="none"/>
        </w:rPr>
      </w:r>
      <w:r/>
    </w:p>
    <w:p>
      <w:pPr>
        <w:pStyle w:val="685"/>
        <w:ind w:firstLine="480"/>
        <w:spacing w:line="360" w:lineRule="auto"/>
        <w:rPr>
          <w:rFonts w:ascii="宋体" w:hAnsi="宋体" w:cs="宋体"/>
          <w:sz w:val="24"/>
          <w:highlight w:val="none"/>
        </w:rPr>
      </w:pPr>
      <w:r>
        <w:rPr>
          <w:rFonts w:hint="eastAsia" w:ascii="宋体" w:hAnsi="宋体" w:cs="Arial"/>
          <w:sz w:val="24"/>
          <w:highlight w:val="none"/>
        </w:rPr>
        <w:t xml:space="preserve">（</w:t>
      </w:r>
      <w:r>
        <w:rPr>
          <w:rFonts w:hint="eastAsia" w:ascii="宋体" w:hAnsi="宋体" w:cs="宋体"/>
          <w:sz w:val="24"/>
          <w:highlight w:val="none"/>
        </w:rPr>
        <w:t xml:space="preserve">1）具有独立承担民事责任的能力（提供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并加盖公章。如供应商为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hint="eastAsia" w:ascii="宋体" w:hAnsi="宋体" w:cs="宋体"/>
          <w:sz w:val="24"/>
          <w:highlight w:val="none"/>
        </w:rPr>
        <w:t xml:space="preserve">，并加盖公章。）</w:t>
      </w:r>
      <w:r>
        <w:rPr>
          <w:rFonts w:ascii="宋体" w:hAnsi="宋体" w:cs="宋体"/>
          <w:sz w:val="24"/>
          <w:highlight w:val="none"/>
        </w:rPr>
        <w:t xml:space="preserve">； </w:t>
      </w:r>
      <w:r>
        <w:rPr>
          <w:rFonts w:ascii="宋体" w:hAnsi="宋体" w:cs="宋体"/>
          <w:sz w:val="24"/>
          <w:highlight w:val="none"/>
        </w:rPr>
      </w:r>
      <w:r/>
    </w:p>
    <w:p>
      <w:pPr>
        <w:pStyle w:val="6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提供</w:t>
      </w:r>
      <w:r>
        <w:rPr>
          <w:rFonts w:hint="eastAsia" w:ascii="宋体" w:hAnsi="宋体" w:eastAsia="宋体" w:cs="宋体"/>
          <w:sz w:val="24"/>
          <w:szCs w:val="24"/>
          <w:highlight w:val="none"/>
          <w:shd w:val="clear" w:color="auto" w:fill="auto"/>
        </w:rPr>
        <w:t xml:space="preserve">距提交响应文件截止之日前的一年内任意一月</w:t>
      </w:r>
      <w:r>
        <w:rPr>
          <w:rFonts w:hint="eastAsia" w:ascii="宋体" w:hAnsi="宋体" w:eastAsia="宋体" w:cs="宋体"/>
          <w:sz w:val="24"/>
          <w:highlight w:val="none"/>
        </w:rPr>
        <w:t xml:space="preserve">资产负债表、利润表(</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收入费用表)，并加盖公章。）；</w:t>
      </w:r>
      <w:r>
        <w:rPr>
          <w:rFonts w:hint="eastAsia" w:ascii="宋体" w:hAnsi="宋体" w:eastAsia="宋体" w:cs="宋体"/>
          <w:sz w:val="24"/>
          <w:highlight w:val="none"/>
        </w:rPr>
      </w:r>
      <w:r/>
    </w:p>
    <w:p>
      <w:pPr>
        <w:pStyle w:val="68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（3）有依法缴纳税收和社会保障资金的良好记录（提供</w:t>
      </w:r>
      <w:r>
        <w:rPr>
          <w:rFonts w:hint="eastAsia" w:ascii="宋体" w:hAnsi="宋体" w:eastAsia="宋体" w:cs="宋体"/>
          <w:sz w:val="24"/>
          <w:szCs w:val="24"/>
          <w:highlight w:val="none"/>
          <w:shd w:val="clear" w:color="auto" w:fill="auto"/>
        </w:rPr>
        <w:t xml:space="preserve">距提交响应文件截止之日前的一年内任意一月</w:t>
      </w:r>
      <w:r>
        <w:rPr>
          <w:rFonts w:hint="eastAsia" w:ascii="宋体" w:hAnsi="宋体" w:eastAsia="宋体" w:cs="宋体"/>
          <w:sz w:val="24"/>
          <w:highlight w:val="none"/>
        </w:rPr>
        <w:t xml:space="preserve">缴纳税收和社保的证明，并加盖公章。）；</w:t>
      </w:r>
      <w:r>
        <w:rPr>
          <w:rFonts w:hint="eastAsia" w:ascii="宋体" w:hAnsi="宋体" w:eastAsia="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具备履行合同所必需的设备和专业技术能力</w:t>
      </w:r>
      <w:r>
        <w:rPr>
          <w:rFonts w:hint="eastAsia" w:ascii="宋体" w:hAnsi="宋体" w:cs="宋体"/>
          <w:sz w:val="24"/>
          <w:highlight w:val="none"/>
        </w:rPr>
        <w:t xml:space="preserve">（提供书面</w:t>
      </w:r>
      <w:r>
        <w:rPr>
          <w:rFonts w:ascii="宋体" w:hAnsi="宋体" w:cs="宋体"/>
          <w:sz w:val="24"/>
          <w:highlight w:val="none"/>
        </w:rPr>
        <w:t xml:space="preserve">声明</w:t>
      </w:r>
      <w:r>
        <w:rPr>
          <w:rFonts w:hint="eastAsia" w:ascii="宋体" w:hAnsi="宋体" w:cs="宋体"/>
          <w:sz w:val="24"/>
          <w:highlight w:val="none"/>
        </w:rPr>
        <w:t xml:space="preserve">并加盖公章）</w:t>
      </w:r>
      <w:r>
        <w:rPr>
          <w:rFonts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参加政府采购活动前3年内在经营活动中没有重大违法记录</w:t>
      </w:r>
      <w:r>
        <w:rPr>
          <w:rFonts w:hint="eastAsia" w:ascii="宋体" w:hAnsi="宋体" w:cs="宋体"/>
          <w:sz w:val="24"/>
          <w:highlight w:val="none"/>
        </w:rPr>
        <w:t xml:space="preserve">（提供书面</w:t>
      </w:r>
      <w:r>
        <w:rPr>
          <w:rFonts w:ascii="宋体" w:hAnsi="宋体" w:cs="宋体"/>
          <w:sz w:val="24"/>
          <w:highlight w:val="none"/>
        </w:rPr>
        <w:t xml:space="preserve">声明</w:t>
      </w:r>
      <w:r>
        <w:rPr>
          <w:rFonts w:hint="eastAsia" w:ascii="宋体" w:hAnsi="宋体" w:cs="宋体"/>
          <w:sz w:val="24"/>
          <w:highlight w:val="none"/>
        </w:rPr>
        <w:t xml:space="preserve">并加盖公章）。</w:t>
      </w:r>
      <w:r>
        <w:rPr>
          <w:rFonts w:ascii="宋体" w:hAnsi="宋体" w:cs="宋体"/>
          <w:sz w:val="24"/>
          <w:highlight w:val="none"/>
        </w:rPr>
      </w:r>
      <w:r/>
    </w:p>
    <w:p>
      <w:pPr>
        <w:pStyle w:val="685"/>
        <w:ind w:firstLine="482"/>
        <w:spacing w:line="360" w:lineRule="auto"/>
        <w:rPr>
          <w:rFonts w:ascii="宋体" w:hAnsi="宋体" w:cs="Arial"/>
          <w:b/>
          <w:bCs/>
          <w:sz w:val="24"/>
          <w:highlight w:val="none"/>
        </w:rPr>
      </w:pPr>
      <w:r/>
      <w:bookmarkStart w:id="21" w:name="_Hlk106724798"/>
      <w:r>
        <w:rPr>
          <w:rFonts w:ascii="宋体" w:hAnsi="宋体" w:cs="Arial"/>
          <w:b/>
          <w:bCs/>
          <w:sz w:val="24"/>
          <w:highlight w:val="none"/>
        </w:rPr>
        <w:t xml:space="preserve">2.2</w:t>
      </w:r>
      <w:bookmarkStart w:id="22" w:name="_Hlk106726432"/>
      <w:r/>
      <w:bookmarkStart w:id="23" w:name="_Hlk106725740"/>
      <w:r>
        <w:rPr>
          <w:rFonts w:hint="eastAsia" w:ascii="宋体" w:hAnsi="宋体" w:cs="Arial"/>
          <w:b/>
          <w:bCs/>
          <w:sz w:val="24"/>
          <w:highlight w:val="none"/>
        </w:rPr>
        <w:t xml:space="preserve">落实政府采购政策需满足的资格要求：</w:t>
      </w:r>
      <w:r>
        <w:rPr>
          <w:rFonts w:ascii="宋体" w:hAnsi="宋体" w:cs="Arial"/>
          <w:b/>
          <w:bCs/>
          <w:sz w:val="24"/>
          <w:highlight w:val="none"/>
        </w:rPr>
      </w:r>
      <w:r/>
    </w:p>
    <w:p>
      <w:pPr>
        <w:pStyle w:val="685"/>
        <w:ind w:firstLine="482"/>
        <w:spacing w:line="360" w:lineRule="auto"/>
        <w:rPr>
          <w:rFonts w:ascii="宋体" w:hAnsi="宋体" w:cs="Arial"/>
          <w:b/>
          <w:bCs/>
          <w:sz w:val="24"/>
          <w:highlight w:val="none"/>
        </w:rPr>
      </w:pPr>
      <w:r>
        <w:rPr>
          <w:rFonts w:hint="eastAsia" w:ascii="宋体" w:hAnsi="宋体" w:cs="宋体"/>
          <w:b/>
          <w:bCs/>
          <w:sz w:val="24"/>
          <w:highlight w:val="none"/>
        </w:rPr>
        <w:t xml:space="preserve">本项目按照采用以下第</w:t>
      </w:r>
      <w:r>
        <w:rPr>
          <w:rFonts w:hint="eastAsia" w:ascii="宋体" w:hAnsi="宋体" w:cs="宋体"/>
          <w:b/>
          <w:bCs/>
          <w:sz w:val="24"/>
          <w:highlight w:val="none"/>
          <w:u w:val="single"/>
        </w:rPr>
        <w:t xml:space="preserve">（4）</w:t>
      </w:r>
      <w:r>
        <w:rPr>
          <w:rFonts w:hint="eastAsia" w:ascii="宋体" w:hAnsi="宋体" w:cs="宋体"/>
          <w:b/>
          <w:bCs/>
          <w:sz w:val="24"/>
          <w:highlight w:val="none"/>
        </w:rPr>
        <w:t xml:space="preserve">种方式落实政府采购促进中小企业发展的要求：</w:t>
      </w:r>
      <w:r>
        <w:rPr>
          <w:rFonts w:ascii="宋体" w:hAnsi="宋体" w:cs="Arial"/>
          <w:b/>
          <w:bCs/>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②本项目要求供应商进行合同分包，中小企业合同金额应当达到的比例为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5"/>
        <w:ind w:firstLine="482"/>
        <w:spacing w:line="360" w:lineRule="auto"/>
        <w:rPr>
          <w:rFonts w:hint="eastAsia" w:ascii="宋体" w:hAnsi="宋体" w:cs="宋体"/>
          <w:b/>
          <w:bCs/>
          <w:color w:val="000000"/>
          <w:sz w:val="24"/>
          <w:highlight w:val="none"/>
        </w:rPr>
      </w:pPr>
      <w:r>
        <w:rPr>
          <w:rFonts w:hint="eastAsia" w:ascii="宋体" w:hAnsi="宋体" w:cs="宋体"/>
          <w:b/>
          <w:bCs/>
          <w:sz w:val="24"/>
          <w:highlight w:val="none"/>
        </w:rPr>
        <w:t xml:space="preserve">（4）本项目为非预留份额专门面向中小企业的采购项目或采购包，执行价格扣除优</w:t>
      </w:r>
      <w:r>
        <w:rPr>
          <w:rFonts w:hint="eastAsia" w:ascii="宋体" w:hAnsi="宋体" w:cs="宋体"/>
          <w:b/>
          <w:bCs/>
          <w:color w:val="000000"/>
          <w:sz w:val="24"/>
          <w:highlight w:val="none"/>
        </w:rPr>
        <w:t xml:space="preserve">惠政策，详见“第五章评标办法与评分标准”。</w:t>
      </w:r>
      <w:bookmarkEnd w:id="22"/>
      <w:r>
        <w:rPr>
          <w:rFonts w:hint="eastAsia" w:ascii="宋体" w:hAnsi="宋体" w:cs="宋体"/>
          <w:b/>
          <w:bCs/>
          <w:color w:val="000000"/>
          <w:sz w:val="24"/>
          <w:highlight w:val="none"/>
        </w:rPr>
      </w:r>
      <w:r/>
    </w:p>
    <w:p>
      <w:pPr>
        <w:pStyle w:val="685"/>
        <w:ind w:firstLine="482"/>
        <w:spacing w:line="360" w:lineRule="auto"/>
        <w:widowControl/>
        <w:rPr>
          <w:rFonts w:hint="eastAsia" w:ascii="宋体" w:hAnsi="宋体" w:cs="宋体"/>
          <w:b/>
          <w:color w:val="000000"/>
          <w:sz w:val="24"/>
          <w:highlight w:val="none"/>
        </w:rPr>
      </w:pPr>
      <w:r/>
      <w:bookmarkEnd w:id="21"/>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除包4、包5外 接受</w:t>
      </w:r>
      <w:r>
        <w:rPr>
          <w:rFonts w:hint="eastAsia" w:ascii="宋体" w:hAnsi="宋体" w:cs="宋体"/>
          <w:b/>
          <w:color w:val="000000"/>
          <w:sz w:val="24"/>
          <w:highlight w:val="none"/>
        </w:rPr>
        <w:t xml:space="preserve"> 联合体参与投标。</w:t>
      </w:r>
      <w:r>
        <w:rPr>
          <w:rFonts w:hint="eastAsia" w:ascii="宋体" w:hAnsi="宋体" w:cs="宋体"/>
          <w:b/>
          <w:color w:val="000000"/>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2.4本项目的特定资格要求：</w:t>
      </w:r>
      <w:bookmarkStart w:id="24" w:name="_Hlk28680991"/>
      <w:r>
        <w:rPr>
          <w:rFonts w:hint="eastAsia" w:ascii="宋体" w:hAnsi="宋体" w:cs="宋体"/>
          <w:b/>
          <w:bCs/>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（1）包1、2、4供应商须为具有特种设备检验资质的检验机构或者特种设备技术检查机构、特种设备专业协会（须提供证明材料复印件并加盖公章）；</w:t>
      </w:r>
      <w:r>
        <w:rPr>
          <w:rFonts w:hint="eastAsia" w:ascii="宋体" w:hAnsi="宋体" w:cs="宋体"/>
          <w:b/>
          <w:bCs/>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（2）包5供应商须非特种设备检验、检测机构（提供书面声明并加盖公章，格式自拟）。</w:t>
      </w:r>
      <w:r>
        <w:rPr>
          <w:rFonts w:hint="eastAsia" w:ascii="宋体" w:hAnsi="宋体" w:cs="宋体"/>
          <w:b/>
          <w:bCs/>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5</w:t>
      </w:r>
      <w:r>
        <w:rPr>
          <w:rFonts w:hint="eastAsia" w:ascii="宋体" w:hAnsi="宋体" w:cs="宋体"/>
          <w:sz w:val="24"/>
          <w:highlight w:val="none"/>
        </w:rPr>
        <w:t xml:space="preserve">拒绝以下供应商参加本次采购活动：</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（1）被“信用中国”网站（</w:t>
      </w:r>
      <w:r>
        <w:rPr>
          <w:rFonts w:ascii="宋体" w:hAnsi="宋体" w:cs="宋体"/>
          <w:sz w:val="24"/>
          <w:highlight w:val="none"/>
        </w:rPr>
        <w:t xml:space="preserve">www.creditchina.gov.cn</w:t>
      </w:r>
      <w:r>
        <w:rPr>
          <w:rFonts w:hint="eastAsia" w:ascii="宋体" w:hAnsi="宋体" w:cs="宋体"/>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（2）供应商</w:t>
      </w:r>
      <w:r>
        <w:rPr>
          <w:rFonts w:ascii="宋体" w:hAnsi="宋体" w:cs="宋体"/>
          <w:sz w:val="24"/>
          <w:highlight w:val="none"/>
        </w:rPr>
        <w:t xml:space="preserve">单位负责人为同一人或者存在直接控股、管理关系的不同供应商，不得参加同一合同项下的政府采购活动</w:t>
      </w:r>
      <w:r>
        <w:rPr>
          <w:rFonts w:hint="eastAsia"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为</w:t>
      </w:r>
      <w:r>
        <w:rPr>
          <w:rFonts w:hint="eastAsia" w:ascii="宋体" w:hAnsi="宋体" w:cs="宋体"/>
          <w:sz w:val="24"/>
          <w:highlight w:val="none"/>
        </w:rPr>
        <w:t xml:space="preserve">本</w:t>
      </w:r>
      <w:r>
        <w:rPr>
          <w:rFonts w:ascii="宋体" w:hAnsi="宋体" w:cs="宋体"/>
          <w:sz w:val="24"/>
          <w:highlight w:val="none"/>
        </w:rPr>
        <w:t xml:space="preserve">项目提供整体设计、规范编制或者项目管理、监理、检测等服务的供应商，不得再参加</w:t>
      </w:r>
      <w:r>
        <w:rPr>
          <w:rFonts w:hint="eastAsia" w:ascii="宋体" w:hAnsi="宋体" w:cs="宋体"/>
          <w:sz w:val="24"/>
          <w:highlight w:val="none"/>
        </w:rPr>
        <w:t xml:space="preserve">本项目的其他</w:t>
      </w:r>
      <w:r>
        <w:rPr>
          <w:rFonts w:ascii="宋体" w:hAnsi="宋体" w:cs="宋体"/>
          <w:sz w:val="24"/>
          <w:highlight w:val="none"/>
        </w:rPr>
        <w:t xml:space="preserve">采购活动</w:t>
      </w:r>
      <w:r>
        <w:rPr>
          <w:rFonts w:hint="eastAsia" w:ascii="宋体" w:hAnsi="宋体" w:cs="宋体"/>
          <w:sz w:val="24"/>
          <w:highlight w:val="none"/>
        </w:rPr>
        <w:t xml:space="preserve">。</w:t>
      </w:r>
      <w:r>
        <w:rPr>
          <w:rFonts w:hint="eastAsia" w:ascii="宋体" w:hAnsi="宋体" w:cs="宋体"/>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bCs/>
          <w:sz w:val="24"/>
          <w:highlight w:val="none"/>
        </w:rPr>
      </w:r>
      <w:r/>
    </w:p>
    <w:p>
      <w:pPr>
        <w:pStyle w:val="685"/>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3.1获取时间：自招标文件公告发布之日起5个工作日 </w:t>
      </w:r>
      <w:r>
        <w:rPr>
          <w:rFonts w:hint="eastAsia"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3.2地点：江苏政府采购网</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3.3方式：线上获取</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3.4售价：0元</w:t>
      </w:r>
      <w:r>
        <w:rPr>
          <w:rFonts w:ascii="宋体" w:hAnsi="宋体" w:cs="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685"/>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yellow"/>
        </w:rPr>
        <w:t xml:space="preserve">202</w:t>
      </w:r>
      <w:r>
        <w:rPr>
          <w:rFonts w:hint="eastAsia" w:ascii="宋体" w:hAnsi="宋体"/>
          <w:color w:val="000000"/>
          <w:sz w:val="24"/>
          <w:highlight w:val="yellow"/>
        </w:rPr>
        <w:t xml:space="preserve">6年</w:t>
      </w:r>
      <w:r>
        <w:rPr>
          <w:rFonts w:hint="eastAsia" w:ascii="宋体" w:hAnsi="宋体"/>
          <w:color w:val="000000"/>
          <w:sz w:val="24"/>
          <w:highlight w:val="yellow"/>
          <w:lang w:val="en-US" w:eastAsia="zh-CN"/>
        </w:rPr>
        <w:t xml:space="preserve">5</w:t>
      </w:r>
      <w:r>
        <w:rPr>
          <w:rFonts w:hint="eastAsia" w:ascii="宋体" w:hAnsi="宋体"/>
          <w:color w:val="000000"/>
          <w:sz w:val="24"/>
          <w:highlight w:val="yellow"/>
        </w:rPr>
        <w:t xml:space="preserve">月</w:t>
      </w:r>
      <w:r>
        <w:rPr>
          <w:rFonts w:hint="eastAsia" w:ascii="宋体" w:hAnsi="宋体"/>
          <w:color w:val="000000"/>
          <w:sz w:val="24"/>
          <w:highlight w:val="yellow"/>
          <w:lang w:val="en-US" w:eastAsia="zh-CN"/>
        </w:rPr>
        <w:t xml:space="preserve">15</w:t>
      </w:r>
      <w:r>
        <w:rPr>
          <w:rFonts w:hint="eastAsia" w:ascii="宋体" w:hAnsi="宋体"/>
          <w:color w:val="000000"/>
          <w:sz w:val="24"/>
          <w:highlight w:val="yellow"/>
        </w:rPr>
        <w:t xml:space="preserve">日</w:t>
      </w:r>
      <w:r>
        <w:rPr>
          <w:rFonts w:hint="eastAsia" w:ascii="宋体" w:hAnsi="宋体"/>
          <w:color w:val="000000"/>
          <w:sz w:val="24"/>
          <w:highlight w:val="none"/>
        </w:rPr>
        <w:t xml:space="preserve">9时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提交投标文件截止时间和开标时间：</w:t>
      </w:r>
      <w:r>
        <w:rPr>
          <w:rFonts w:ascii="宋体" w:hAnsi="宋体"/>
          <w:color w:val="000000"/>
          <w:sz w:val="24"/>
          <w:highlight w:val="yellow"/>
        </w:rPr>
        <w:t xml:space="preserve">202</w:t>
      </w:r>
      <w:r>
        <w:rPr>
          <w:rFonts w:hint="eastAsia" w:ascii="宋体" w:hAnsi="宋体"/>
          <w:color w:val="000000"/>
          <w:sz w:val="24"/>
          <w:highlight w:val="yellow"/>
        </w:rPr>
        <w:t xml:space="preserve">6年</w:t>
      </w:r>
      <w:r>
        <w:rPr>
          <w:rFonts w:hint="eastAsia" w:ascii="宋体" w:hAnsi="宋体"/>
          <w:color w:val="000000"/>
          <w:sz w:val="24"/>
          <w:highlight w:val="yellow"/>
          <w:lang w:val="en-US" w:eastAsia="zh-CN"/>
        </w:rPr>
        <w:t xml:space="preserve">5</w:t>
      </w:r>
      <w:r>
        <w:rPr>
          <w:rFonts w:hint="eastAsia" w:ascii="宋体" w:hAnsi="宋体"/>
          <w:color w:val="000000"/>
          <w:sz w:val="24"/>
          <w:highlight w:val="yellow"/>
        </w:rPr>
        <w:t xml:space="preserve">月</w:t>
      </w:r>
      <w:r>
        <w:rPr>
          <w:rFonts w:hint="eastAsia" w:ascii="宋体" w:hAnsi="宋体"/>
          <w:color w:val="000000"/>
          <w:sz w:val="24"/>
          <w:highlight w:val="yellow"/>
          <w:lang w:val="en-US" w:eastAsia="zh-CN"/>
        </w:rPr>
        <w:t xml:space="preserve">15</w:t>
      </w:r>
      <w:r>
        <w:rPr>
          <w:rFonts w:hint="eastAsia" w:ascii="宋体" w:hAnsi="宋体"/>
          <w:color w:val="000000"/>
          <w:sz w:val="24"/>
          <w:highlight w:val="yellow"/>
        </w:rPr>
        <w:t xml:space="preserve">日</w:t>
      </w:r>
      <w:r>
        <w:rPr>
          <w:rFonts w:hint="eastAsia" w:ascii="宋体" w:hAnsi="宋体"/>
          <w:color w:val="000000"/>
          <w:sz w:val="24"/>
          <w:highlight w:val="none"/>
        </w:rPr>
        <w:t xml:space="preserve">9时</w:t>
      </w:r>
      <w:r>
        <w:rPr>
          <w:rFonts w:ascii="宋体" w:hAnsi="宋体"/>
          <w:color w:val="000000"/>
          <w:sz w:val="24"/>
          <w:highlight w:val="none"/>
        </w:rPr>
        <w:t xml:space="preserve">30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hint="eastAsia" w:ascii="宋体" w:hAnsi="宋体"/>
          <w:color w:val="000000"/>
          <w:sz w:val="24"/>
          <w:highlight w:val="none"/>
        </w:rPr>
      </w:r>
      <w:r/>
    </w:p>
    <w:p>
      <w:pPr>
        <w:pStyle w:val="685"/>
        <w:ind w:firstLine="480"/>
        <w:spacing w:line="360" w:lineRule="auto"/>
        <w:rPr>
          <w:rFonts w:ascii="宋体" w:hAnsi="宋体" w:cs="宋体"/>
          <w:bCs/>
          <w:sz w:val="24"/>
          <w:highlight w:val="none"/>
        </w:rPr>
      </w:pPr>
      <w:r>
        <w:rPr>
          <w:rFonts w:ascii="宋体" w:hAnsi="宋体"/>
          <w:sz w:val="24"/>
          <w:highlight w:val="none"/>
        </w:rPr>
        <w:t xml:space="preserve">4.3</w:t>
      </w:r>
      <w:r>
        <w:rPr>
          <w:rFonts w:hint="eastAsia" w:ascii="宋体" w:hAnsi="宋体"/>
          <w:sz w:val="24"/>
          <w:highlight w:val="none"/>
        </w:rPr>
        <w:t xml:space="preserve">地点：</w:t>
      </w:r>
      <w:r>
        <w:rPr>
          <w:rFonts w:hint="eastAsia" w:ascii="宋体" w:hAnsi="宋体" w:cs="宋体"/>
          <w:bCs/>
          <w:sz w:val="24"/>
          <w:highlight w:val="none"/>
        </w:rPr>
        <w:t xml:space="preserve">苏采云”网上开标大厅</w:t>
      </w:r>
      <w:r>
        <w:rPr>
          <w:rFonts w:ascii="宋体" w:hAnsi="宋体" w:cs="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s="宋体"/>
          <w:bCs/>
          <w:sz w:val="24"/>
          <w:highlight w:val="none"/>
        </w:rPr>
        <w:t xml:space="preserve">“苏采云”网上开标大厅</w:t>
      </w:r>
      <w:r>
        <w:rPr>
          <w:rFonts w:ascii="宋体" w:hAnsi="宋体" w:cs="宋体"/>
          <w:b/>
          <w:bCs/>
          <w:color w:val="000000"/>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685"/>
        <w:ind w:firstLine="480"/>
        <w:spacing w:line="360" w:lineRule="auto"/>
        <w:widowControl/>
        <w:rPr>
          <w:rFonts w:ascii="宋体" w:hAnsi="宋体" w:cs="宋体"/>
          <w:b/>
          <w:bCs/>
          <w:color w:val="000000"/>
          <w:sz w:val="24"/>
          <w:highlight w:val="none"/>
        </w:rPr>
      </w:pPr>
      <w:r>
        <w:rPr>
          <w:rFonts w:hint="eastAsia" w:ascii="宋体" w:hAnsi="宋体"/>
          <w:sz w:val="24"/>
          <w:highlight w:val="none"/>
        </w:rPr>
        <w:t xml:space="preserve">6</w:t>
      </w:r>
      <w:r>
        <w:rPr>
          <w:rFonts w:ascii="宋体" w:hAnsi="宋体"/>
          <w:sz w:val="24"/>
          <w:highlight w:val="none"/>
        </w:rPr>
        <w:t xml:space="preserve">.1</w:t>
      </w:r>
      <w:r>
        <w:rPr>
          <w:rFonts w:hint="eastAsia" w:ascii="宋体" w:hAnsi="宋体" w:cs="宋体"/>
          <w:color w:val="000000"/>
          <w:sz w:val="24"/>
          <w:highlight w:val="none"/>
        </w:rPr>
        <w:t xml:space="preserve">投标文件制作份数要求：</w:t>
      </w:r>
      <w:r>
        <w:rPr>
          <w:rFonts w:ascii="宋体" w:hAnsi="宋体" w:cs="宋体"/>
          <w:b/>
          <w:bCs/>
          <w:color w:val="000000"/>
          <w:sz w:val="24"/>
          <w:highlight w:val="none"/>
        </w:rPr>
      </w:r>
      <w:r/>
    </w:p>
    <w:p>
      <w:pPr>
        <w:pStyle w:val="685"/>
        <w:ind w:firstLine="480"/>
        <w:spacing w:line="360" w:lineRule="auto"/>
        <w:rPr>
          <w:rFonts w:ascii="宋体" w:hAnsi="宋体"/>
          <w:sz w:val="24"/>
          <w:highlight w:val="none"/>
        </w:rPr>
      </w:pPr>
      <w:r>
        <w:rPr>
          <w:rFonts w:hint="eastAsia" w:ascii="宋体" w:hAnsi="宋体"/>
          <w:sz w:val="24"/>
          <w:highlight w:val="none"/>
        </w:rPr>
        <w:t xml:space="preserve">正本份数：1份； 副本份数：4份； 电子文件（word格式，U盘）1份</w:t>
      </w:r>
      <w:r>
        <w:rPr>
          <w:rFonts w:ascii="宋体" w:hAnsi="宋体"/>
          <w:sz w:val="24"/>
          <w:highlight w:val="none"/>
        </w:rPr>
      </w:r>
      <w:r/>
    </w:p>
    <w:p>
      <w:pPr>
        <w:pStyle w:val="685"/>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6.2本次招标 </w:t>
      </w:r>
      <w:r>
        <w:rPr>
          <w:rFonts w:hint="eastAsia" w:ascii="宋体" w:hAnsi="宋体"/>
          <w:b/>
          <w:bCs/>
          <w:sz w:val="24"/>
          <w:highlight w:val="none"/>
          <w:u w:val="single"/>
        </w:rPr>
        <w:t xml:space="preserve">不收取</w:t>
      </w:r>
      <w:r>
        <w:rPr>
          <w:rFonts w:hint="eastAsia" w:ascii="宋体" w:hAnsi="宋体"/>
          <w:b/>
          <w:bCs/>
          <w:sz w:val="24"/>
          <w:highlight w:val="none"/>
        </w:rPr>
        <w:t xml:space="preserve"> 投标保证金</w:t>
      </w:r>
      <w:r>
        <w:rPr>
          <w:rFonts w:hint="eastAsia" w:ascii="宋体" w:hAnsi="宋体"/>
          <w:b/>
          <w:bCs/>
          <w:sz w:val="24"/>
          <w:highlight w:val="none"/>
        </w:rPr>
      </w:r>
      <w:r/>
    </w:p>
    <w:p>
      <w:pPr>
        <w:pStyle w:val="685"/>
        <w:ind w:firstLine="482"/>
        <w:spacing w:line="360" w:lineRule="auto"/>
        <w:widowControl/>
        <w:rPr>
          <w:rFonts w:ascii="宋体" w:hAnsi="宋体"/>
          <w:b/>
          <w:bCs/>
          <w:sz w:val="24"/>
          <w:highlight w:val="none"/>
        </w:rPr>
      </w:pPr>
      <w:r>
        <w:rPr>
          <w:rFonts w:hint="eastAsia" w:ascii="宋体" w:hAnsi="宋体"/>
          <w:b/>
          <w:bCs/>
          <w:sz w:val="24"/>
          <w:highlight w:val="none"/>
        </w:rPr>
        <w:t xml:space="preserve">6.3本项目中各采购包“可兼中兼得”</w:t>
      </w:r>
      <w:r>
        <w:rPr>
          <w:rFonts w:ascii="宋体" w:hAnsi="宋体"/>
          <w:b/>
          <w:bCs/>
          <w:sz w:val="24"/>
          <w:highlight w:val="none"/>
        </w:rPr>
      </w:r>
      <w:r/>
    </w:p>
    <w:p>
      <w:pPr>
        <w:pStyle w:val="685"/>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6.3本项目</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t xml:space="preserve">除包4、包5外 接受</w:t>
      </w:r>
      <w:r>
        <w:rPr>
          <w:rFonts w:hint="eastAsia" w:ascii="宋体" w:hAnsi="宋体" w:cs="宋体"/>
          <w:b/>
          <w:color w:val="000000"/>
          <w:sz w:val="24"/>
          <w:highlight w:val="none"/>
        </w:rPr>
        <w:t xml:space="preserve"> 联合体参与投标</w:t>
      </w:r>
      <w:r>
        <w:rPr>
          <w:rFonts w:hint="eastAsia" w:ascii="宋体" w:hAnsi="宋体"/>
          <w:b/>
          <w:bCs/>
          <w:sz w:val="24"/>
          <w:highlight w:val="none"/>
        </w:rPr>
        <w:t xml:space="preserve">，关于联合体的要求（提供联合体协议书；联合体协议书加盖所有联合体成员公章；接受联合体投标的分包，联合体成员数量不得超过3家）：</w:t>
      </w:r>
      <w:r>
        <w:rPr>
          <w:rFonts w:hint="eastAsia" w:ascii="宋体" w:hAnsi="宋体"/>
          <w:b/>
          <w:bCs/>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（1）联合体成员应按招标文件提供的格式签订联合体协议书，明确联合体牵头人和成员权利义务；</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（2）联合体各成员单位应当具备与联合体协议中约定的分工相适应的资质和能力；</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（3）联合体成员不得再以自己名义单独或参加其他联合体在同一标段中投标；</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（4）联合体各方必须指定牵头人，授权其代表所有联合体成员负责投标和合同实施阶段的主办、协调工作，并应当向采购人提交由所有联合体成员法定代表人签署的授权书；</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（5）采购人要求供应商提交投标保证担保的，应当以联合体牵头人的名义提交投标保证担保。以联合体中牵头人名义提交的投标保证担保，对联合体各成员具有约束力。</w:t>
      </w:r>
      <w:r>
        <w:rPr>
          <w:rFonts w:hint="eastAsia" w:ascii="宋体" w:hAnsi="宋体"/>
          <w:sz w:val="24"/>
          <w:highlight w:val="none"/>
        </w:rPr>
      </w:r>
      <w:r/>
    </w:p>
    <w:p>
      <w:pPr>
        <w:pStyle w:val="685"/>
        <w:ind w:firstLine="480"/>
        <w:spacing w:line="360" w:lineRule="auto"/>
        <w:rPr>
          <w:rFonts w:ascii="宋体" w:hAnsi="宋体" w:eastAsia="宋体" w:cs="Times New Roman"/>
          <w:color w:val="000000"/>
          <w:sz w:val="24"/>
          <w:highlight w:val="yellow"/>
        </w:rPr>
      </w:pPr>
      <w:r>
        <w:rPr>
          <w:rFonts w:hint="eastAsia" w:ascii="宋体" w:hAnsi="宋体" w:eastAsia="宋体" w:cs="Times New Roman"/>
          <w:color w:val="000000"/>
          <w:sz w:val="24"/>
          <w:highlight w:val="yellow"/>
          <w:lang w:val="en-US" w:eastAsia="zh-CN"/>
        </w:rPr>
        <w:t xml:space="preserve">6.4</w:t>
      </w:r>
      <w:r>
        <w:rPr>
          <w:rFonts w:hint="eastAsia" w:ascii="宋体" w:hAnsi="宋体" w:eastAsia="宋体" w:cs="Times New Roman"/>
          <w:color w:val="000000"/>
          <w:sz w:val="24"/>
          <w:highlight w:val="yellow"/>
        </w:rPr>
        <w:t xml:space="preserve">潜在供应商访问政府采购管理交易系统（苏采云）的网络地址和方法：</w:t>
      </w:r>
      <w:r>
        <w:rPr>
          <w:rFonts w:ascii="宋体" w:hAnsi="宋体" w:eastAsia="宋体" w:cs="Times New Roman"/>
          <w:color w:val="000000"/>
          <w:sz w:val="24"/>
          <w:highlight w:val="yellow"/>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（2）“CA数字证书”的获取：供应商需办理CA锁，“苏采云”系统目前仅支持“苏采云”系统下的政务CA，省内各地区办理的“苏采云”系统下的政务CA全省通用。</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（3）“CA数字证书”的办理材料以及供应商操作手册详见：http://jsxcmm.com/help/gys.html。</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（4）潜在供应商访问“苏采云”系统的网络地址和方法：“苏采云”系统的网址：http://jszfcg.jsczt.cn/jszc/login。</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（5）采购文件（后缀名为“.kedt”）、供应商操作手册及政府采购客户端工具也可通过“苏采云”系统--已报名项目--报名详情页面内相应链接进行下载。</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（6）</w:t>
      </w:r>
      <w:r>
        <w:rPr>
          <w:rFonts w:hint="eastAsia" w:ascii="宋体" w:hAnsi="宋体" w:eastAsia="宋体" w:cs="Times New Roman"/>
          <w:color w:val="000000"/>
          <w:sz w:val="24"/>
          <w:lang w:eastAsia="zh-CN"/>
        </w:rPr>
        <w:t xml:space="preserve">采购代理机构</w:t>
      </w:r>
      <w:r>
        <w:rPr>
          <w:rFonts w:hint="eastAsia" w:ascii="宋体" w:hAnsi="宋体" w:eastAsia="宋体" w:cs="Times New Roman"/>
          <w:color w:val="000000"/>
          <w:sz w:val="24"/>
        </w:rPr>
        <w:t xml:space="preserve">将数据电文形式的采购文件加载至“苏采云”系统，供潜在供应商下载或者查阅。</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（7）苏采云系统使用谷歌浏览器参与不见面开标。</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（8）“苏采云”南京地区客服热线025-83633744、025-83633743。</w:t>
      </w:r>
      <w:r>
        <w:rPr>
          <w:rFonts w:ascii="宋体" w:hAnsi="宋体" w:eastAsia="宋体" w:cs="Times New Roman"/>
          <w:color w:val="000000"/>
          <w:sz w:val="24"/>
        </w:rPr>
      </w:r>
      <w:r/>
    </w:p>
    <w:p>
      <w:pPr>
        <w:pStyle w:val="685"/>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6.5</w:t>
      </w:r>
      <w:r>
        <w:rPr>
          <w:rFonts w:hint="eastAsia" w:ascii="宋体" w:hAnsi="宋体" w:eastAsia="宋体" w:cs="Times New Roman"/>
          <w:color w:val="000000"/>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eastAsia="宋体" w:cs="Times New Roman"/>
          <w:color w:val="000000"/>
          <w:sz w:val="24"/>
        </w:rPr>
      </w:r>
      <w:r/>
    </w:p>
    <w:p>
      <w:pPr>
        <w:pStyle w:val="685"/>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685"/>
        <w:ind w:firstLine="480"/>
        <w:spacing w:line="360" w:lineRule="auto"/>
        <w:rPr>
          <w:rFonts w:ascii="宋体" w:hAnsi="宋体"/>
          <w:sz w:val="24"/>
          <w:highlight w:val="none"/>
        </w:rPr>
      </w:pPr>
      <w:r>
        <w:rPr>
          <w:rFonts w:ascii="宋体" w:hAnsi="宋体"/>
          <w:sz w:val="24"/>
          <w:highlight w:val="none"/>
        </w:rPr>
        <w:t xml:space="preserve">7.1</w:t>
      </w:r>
      <w:r>
        <w:rPr>
          <w:rFonts w:hint="eastAsia" w:ascii="宋体" w:hAnsi="宋体"/>
          <w:sz w:val="24"/>
          <w:highlight w:val="none"/>
        </w:rPr>
        <w:t xml:space="preserve">采购人信息</w:t>
      </w:r>
      <w:r>
        <w:rPr>
          <w:rFonts w:ascii="宋体" w:hAnsi="宋体"/>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sz w:val="24"/>
          <w:highlight w:val="none"/>
        </w:rPr>
        <w:t xml:space="preserve">江苏省市场监督管理局</w:t>
      </w:r>
      <w:r>
        <w:rPr>
          <w:rFonts w:hint="eastAsia" w:ascii="宋体" w:hAnsi="宋体"/>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址：南京市鼓楼区草场门大街107号龙江大厦</w:t>
      </w:r>
      <w:r>
        <w:rPr>
          <w:rFonts w:hint="eastAsia" w:ascii="宋体" w:hAnsi="宋体"/>
          <w:color w:val="000000"/>
          <w:sz w:val="24"/>
          <w:highlight w:val="none"/>
        </w:rPr>
      </w:r>
      <w:r/>
    </w:p>
    <w:p>
      <w:pPr>
        <w:pStyle w:val="685"/>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汤老师</w:t>
      </w:r>
      <w:r>
        <w:rPr>
          <w:rFonts w:ascii="宋体" w:hAnsi="宋体" w:eastAsia="宋体"/>
          <w:color w:val="000000"/>
          <w:sz w:val="24"/>
          <w:highlight w:val="none"/>
          <w:lang w:val="en-US" w:eastAsia="zh-CN"/>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联系电话：025-68952672</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联系电话：025-83581356</w:t>
      </w:r>
      <w:r>
        <w:rPr>
          <w:rFonts w:hint="eastAsia"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686"/>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sz w:val="36"/>
          <w:szCs w:val="36"/>
          <w:highlight w:val="none"/>
        </w:rPr>
        <w:br w:type="page" w:clear="all"/>
      </w:r>
      <w:bookmarkStart w:id="27" w:name="_Toc7077"/>
      <w:r/>
      <w:bookmarkStart w:id="28" w:name="_Toc9363425"/>
      <w:r/>
      <w:bookmarkStart w:id="29" w:name="_Toc12887260"/>
      <w:r/>
      <w:bookmarkStart w:id="30" w:name="_Toc12708970"/>
      <w:r>
        <w:rPr>
          <w:rFonts w:hint="eastAsia" w:ascii="华文中宋" w:hAnsi="华文中宋" w:eastAsia="华文中宋"/>
          <w:b/>
          <w:bCs/>
          <w:sz w:val="36"/>
          <w:szCs w:val="36"/>
          <w:highlight w:val="none"/>
        </w:rPr>
        <w:t xml:space="preserve">第二章</w:t>
      </w:r>
      <w:bookmarkEnd w:id="4"/>
      <w:r/>
      <w:bookmarkEnd w:id="5"/>
      <w:r/>
      <w:bookmarkEnd w:id="6"/>
      <w:r/>
      <w:bookmarkEnd w:id="7"/>
      <w:r/>
      <w:bookmarkEnd w:id="8"/>
      <w:r/>
      <w:bookmarkEnd w:id="25"/>
      <w:r/>
      <w:bookmarkStart w:id="31" w:name="_Toc20823274"/>
      <w:r/>
      <w:bookmarkStart w:id="32" w:name="_Toc120614213"/>
      <w:r/>
      <w:bookmarkStart w:id="33" w:name="_Toc513029202"/>
      <w:r/>
      <w:bookmarkStart w:id="34" w:name="_Toc16938518"/>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861"/>
        <w:ind w:left="0" w:right="210"/>
        <w:spacing w:line="360" w:lineRule="auto"/>
        <w:rPr>
          <w:rFonts w:hint="eastAsia" w:ascii="宋体" w:hAnsi="宋体" w:eastAsia="宋体" w:cs="宋体"/>
          <w:sz w:val="24"/>
          <w:szCs w:val="24"/>
          <w:highlight w:val="none"/>
        </w:rPr>
      </w:pPr>
      <w:r/>
      <w:bookmarkStart w:id="35" w:name="_Toc107246214"/>
      <w:r/>
      <w:bookmarkStart w:id="36" w:name="_Toc32506"/>
      <w:r/>
      <w:bookmarkStart w:id="37" w:name="_Toc29508"/>
      <w:r/>
      <w:bookmarkStart w:id="38" w:name="_Toc29032"/>
      <w:r/>
      <w:bookmarkStart w:id="39" w:name="_Toc27152"/>
      <w:r/>
      <w:bookmarkStart w:id="40" w:name="_Toc120614221"/>
      <w:r/>
      <w:bookmarkStart w:id="41" w:name="_Toc479757207"/>
      <w:r/>
      <w:bookmarkStart w:id="42" w:name="_Toc107246233"/>
      <w:r/>
      <w:bookmarkStart w:id="43" w:name="_Toc104560856"/>
      <w:r/>
      <w:bookmarkStart w:id="44" w:name="_Toc91836558"/>
      <w:r/>
      <w:bookmarkStart w:id="45" w:name="_Toc80264708"/>
      <w:r/>
      <w:bookmarkStart w:id="46" w:name="_Toc8485120"/>
      <w:r/>
      <w:bookmarkStart w:id="47" w:name="_Toc513029242"/>
      <w:r/>
      <w:bookmarkStart w:id="48" w:name="_Toc20823314"/>
      <w:r/>
      <w:bookmarkStart w:id="49" w:name="_Toc16938558"/>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总则</w:t>
      </w:r>
      <w:bookmarkEnd w:id="35"/>
      <w:r/>
      <w:bookmarkEnd w:id="36"/>
      <w:r/>
      <w:bookmarkEnd w:id="37"/>
      <w:r/>
      <w:bookmarkEnd w:id="38"/>
      <w:r/>
      <w:bookmarkEnd w:id="39"/>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50" w:name="_Toc27709"/>
      <w:r/>
      <w:bookmarkStart w:id="51" w:name="_Toc100905201"/>
      <w:r/>
      <w:bookmarkStart w:id="52" w:name="_Toc104560839"/>
      <w:r/>
      <w:bookmarkStart w:id="53" w:name="_Toc6438"/>
      <w:r/>
      <w:bookmarkStart w:id="54" w:name="_Toc96347862"/>
      <w:r/>
      <w:bookmarkStart w:id="55" w:name="_Toc4298"/>
      <w:r/>
      <w:bookmarkStart w:id="56" w:name="_Toc107246215"/>
      <w:r/>
      <w:bookmarkStart w:id="57" w:name="_Toc24546"/>
      <w:r/>
      <w:bookmarkStart w:id="58" w:name="_Toc103848528"/>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式</w:t>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highlight w:val="none"/>
        </w:rPr>
        <w:t xml:space="preserve"> </w:t>
      </w:r>
      <w:r>
        <w:rPr>
          <w:rFonts w:hint="eastAsia" w:ascii="宋体" w:hAnsi="宋体" w:eastAsia="宋体" w:cs="宋体"/>
          <w:sz w:val="24"/>
          <w:szCs w:val="24"/>
          <w:highlight w:val="none"/>
        </w:rPr>
        <w:t xml:space="preserve">本次招标采取公开招标方式，本招标文件仅适用于招标公告中所述项目。</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59" w:name="_Toc2183"/>
      <w:r/>
      <w:bookmarkStart w:id="60" w:name="_Toc15695"/>
      <w:r/>
      <w:bookmarkStart w:id="61" w:name="_Toc107246216"/>
      <w:r/>
      <w:bookmarkStart w:id="62" w:name="_Toc29840"/>
      <w:r/>
      <w:bookmarkStart w:id="63" w:name="_Toc103848529"/>
      <w:r/>
      <w:bookmarkStart w:id="64" w:name="_Toc100905202"/>
      <w:r/>
      <w:bookmarkStart w:id="65" w:name="_Toc104560840"/>
      <w:r/>
      <w:bookmarkStart w:id="66" w:name="_Toc16909"/>
      <w:r/>
      <w:bookmarkStart w:id="67" w:name="_Toc96347863"/>
      <w:r>
        <w:rPr>
          <w:rFonts w:hint="eastAsia" w:ascii="宋体" w:hAnsi="宋体" w:eastAsia="宋体" w:cs="宋体"/>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sz w:val="24"/>
          <w:szCs w:val="24"/>
          <w:highlight w:val="none"/>
        </w:rPr>
        <w:t xml:space="preserve">投标人须知前附表</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是指集中采购机构和集中采购机构以外的采购代理机构。本次政府采购的采购代理机构名称、地址、电话、联系人见</w:t>
      </w:r>
      <w:r>
        <w:rPr>
          <w:rFonts w:hint="eastAsia" w:ascii="宋体" w:hAnsi="宋体" w:eastAsia="宋体" w:cs="宋体"/>
          <w:b/>
          <w:sz w:val="24"/>
          <w:szCs w:val="24"/>
          <w:highlight w:val="none"/>
        </w:rPr>
        <w:t xml:space="preserve">投标人须知前附表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 </w:t>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2.3“</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”是指采购人和</w:t>
      </w:r>
      <w:r>
        <w:rPr>
          <w:rFonts w:hint="eastAsia" w:ascii="宋体" w:hAnsi="宋体" w:eastAsia="宋体" w:cs="宋体"/>
          <w:sz w:val="24"/>
          <w:szCs w:val="24"/>
          <w:highlight w:val="none"/>
        </w:rPr>
        <w:t xml:space="preserve">采购代理机构的合称。</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是指向采购人提供货物、工程或者服务的法人、其他组织或者自然人。</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中标供应商</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评标委员会</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是依据政府采购相关法律法规规定组建，依法履行评审采购活动职责的评审成员。</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货物</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是指各种形态和种类的物品，包括原材料、燃料、设备、产品等。</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工程</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是指建设工程，包括建筑物和构筑物的新建、改建、扩建、装修、拆除、修缮等。</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服务</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是指除货物和工程以外的其他政府采购对象。</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节能产品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或者</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环保产品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是指国务院有关部门发布的最新一期《节能产品政府采购品目清单》或者《环境标志产品政府采购品目清单》内的产品。</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进口产品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是指通过中国海关报关验放进入中国境内且产自关境外的产品。</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68" w:name="_Toc18167"/>
      <w:r/>
      <w:bookmarkStart w:id="69" w:name="_Toc107246217"/>
      <w:r/>
      <w:bookmarkStart w:id="70" w:name="_Toc103848530"/>
      <w:r/>
      <w:bookmarkStart w:id="71" w:name="_Toc96347864"/>
      <w:r/>
      <w:bookmarkStart w:id="72" w:name="_Toc104560841"/>
      <w:r/>
      <w:bookmarkStart w:id="73" w:name="_Toc21715"/>
      <w:r/>
      <w:bookmarkStart w:id="74" w:name="_Toc14949"/>
      <w:r/>
      <w:bookmarkStart w:id="75" w:name="_Toc100905203"/>
      <w:r/>
      <w:bookmarkStart w:id="76" w:name="_Toc15633"/>
      <w:r>
        <w:rPr>
          <w:rFonts w:hint="eastAsia" w:ascii="宋体" w:hAnsi="宋体" w:eastAsia="宋体" w:cs="宋体"/>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bookmarkStart w:id="77" w:name="_Toc100905204"/>
      <w:r>
        <w:rPr>
          <w:rFonts w:hint="eastAsia" w:ascii="宋体" w:hAnsi="宋体" w:eastAsia="宋体" w:cs="宋体"/>
          <w:sz w:val="24"/>
          <w:szCs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78" w:name="_Toc103848531"/>
      <w:r/>
      <w:bookmarkStart w:id="79" w:name="_Toc11834"/>
      <w:r/>
      <w:bookmarkStart w:id="80" w:name="_Toc12476"/>
      <w:r/>
      <w:bookmarkStart w:id="81" w:name="_Toc5865"/>
      <w:r/>
      <w:bookmarkStart w:id="82" w:name="_Toc104560842"/>
      <w:r/>
      <w:bookmarkStart w:id="83" w:name="_Toc25168"/>
      <w:r/>
      <w:bookmarkStart w:id="84" w:name="_Toc107246218"/>
      <w:r>
        <w:rPr>
          <w:rFonts w:hint="eastAsia" w:ascii="宋体" w:hAnsi="宋体" w:eastAsia="宋体" w:cs="宋体"/>
          <w:sz w:val="24"/>
          <w:szCs w:val="24"/>
          <w:highlight w:val="none"/>
        </w:rPr>
        <w:t xml:space="preserve">4.</w:t>
      </w:r>
      <w:bookmarkEnd w:id="78"/>
      <w:r>
        <w:rPr>
          <w:rFonts w:hint="eastAsia" w:ascii="宋体" w:hAnsi="宋体" w:eastAsia="宋体" w:cs="宋体"/>
          <w:sz w:val="24"/>
          <w:szCs w:val="24"/>
          <w:highlight w:val="none"/>
        </w:rPr>
        <w:t xml:space="preserve">政府采购政策（包括但不限于下列具体政策要求）</w:t>
      </w:r>
      <w:bookmarkEnd w:id="79"/>
      <w:r/>
      <w:bookmarkEnd w:id="80"/>
      <w:r/>
      <w:bookmarkEnd w:id="81"/>
      <w:r/>
      <w:bookmarkEnd w:id="82"/>
      <w:r/>
      <w:bookmarkEnd w:id="83"/>
      <w:r/>
      <w:bookmarkEnd w:id="84"/>
      <w:r>
        <w:rPr>
          <w:rFonts w:hint="eastAsia" w:ascii="宋体" w:hAnsi="宋体" w:eastAsia="宋体" w:cs="宋体"/>
          <w:sz w:val="24"/>
          <w:szCs w:val="24"/>
          <w:highlight w:val="none"/>
        </w:rPr>
      </w:r>
      <w:r/>
    </w:p>
    <w:p>
      <w:pPr>
        <w:pStyle w:val="685"/>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4.1中小企业、监狱企业及残疾人福利性单位</w:t>
      </w:r>
      <w:r>
        <w:rPr>
          <w:rFonts w:hint="eastAsia" w:ascii="宋体" w:hAnsi="宋体" w:eastAsia="宋体" w:cs="宋体"/>
          <w:b/>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4.1.1中小企业定义：</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4.1.1.1中小企业是</w:t>
      </w:r>
      <w:r>
        <w:rPr>
          <w:rFonts w:hint="eastAsia" w:ascii="宋体" w:hAnsi="宋体" w:eastAsia="宋体" w:cs="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4.1.1.2供应商提供的货物、工程或者服务符合下列情形的，享受中小企业扶持政策：</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4.1.1.3在货物采购项目中，供应商提供的货物既有中小企业制造货物，也有大型企业制造货物的，不享受中小企业扶持政策。</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4.1.3残疾人福利单位定义：享受政府采购支持政策的残疾人福利性单位应当同时满足以下条件：</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（1）安置的残疾人占本单位在职职工人数的比例不低于25%（含25%），并且安置的残疾人人数不少于10 人（含10 人）；</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（2）依法与安置的每位残疾人签订了一年以上（含一年）的劳动合同或服务协议；</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（3）为安置的每位残疾人按月足额缴纳了基本养老保险、基本医疗保险、失业保险、工伤保险和生育保险等社会保险费；</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4.1.4小微企业价格评审优惠的政策调整：见第五章《评标方法与评标标准》（如涉及）。</w:t>
      </w:r>
      <w:r>
        <w:rPr>
          <w:rFonts w:hint="eastAsia" w:ascii="宋体" w:hAnsi="宋体" w:eastAsia="宋体" w:cs="宋体"/>
          <w:b/>
          <w:sz w:val="24"/>
          <w:szCs w:val="24"/>
          <w:highlight w:val="none"/>
        </w:rPr>
      </w:r>
      <w:r/>
    </w:p>
    <w:p>
      <w:pPr>
        <w:pStyle w:val="685"/>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4.2政府采购节能产品、环境标志产品</w:t>
      </w:r>
      <w:r>
        <w:rPr>
          <w:rFonts w:hint="eastAsia" w:ascii="宋体" w:hAnsi="宋体" w:eastAsia="宋体" w:cs="宋体"/>
          <w:b/>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4.2.2采购人拟采购的产品属于品目清单范围的，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eastAsia="宋体" w:cs="宋体"/>
          <w:sz w:val="24"/>
          <w:szCs w:val="24"/>
          <w:highlight w:val="none"/>
        </w:rPr>
      </w:r>
      <w:r/>
    </w:p>
    <w:p>
      <w:pPr>
        <w:pStyle w:val="685"/>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4.3信息安全产品</w:t>
      </w:r>
      <w:r>
        <w:rPr>
          <w:rFonts w:hint="eastAsia" w:ascii="宋体" w:hAnsi="宋体" w:eastAsia="宋体" w:cs="宋体"/>
          <w:b/>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eastAsia="宋体" w:cs="宋体"/>
          <w:sz w:val="24"/>
          <w:szCs w:val="24"/>
          <w:highlight w:val="none"/>
        </w:rPr>
      </w:r>
      <w:r/>
    </w:p>
    <w:p>
      <w:pPr>
        <w:pStyle w:val="685"/>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4.4未按要求提供相关材料的，不享受相关政策。</w:t>
      </w:r>
      <w:r>
        <w:rPr>
          <w:rFonts w:hint="eastAsia" w:ascii="宋体" w:hAnsi="宋体" w:eastAsia="宋体" w:cs="宋体"/>
          <w:b/>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77"/>
      <w:r/>
      <w:bookmarkStart w:id="85" w:name="_Toc104560843"/>
      <w:r/>
      <w:bookmarkStart w:id="86" w:name="_Toc107246219"/>
      <w:r/>
      <w:bookmarkStart w:id="87" w:name="_Toc7322"/>
      <w:r/>
      <w:bookmarkStart w:id="88" w:name="_Toc30143"/>
      <w:r/>
      <w:bookmarkStart w:id="89" w:name="_Toc96347865"/>
      <w:r/>
      <w:bookmarkStart w:id="90" w:name="_Toc103848532"/>
      <w:r/>
      <w:bookmarkStart w:id="91" w:name="_Toc2402"/>
      <w:r/>
      <w:bookmarkStart w:id="92" w:name="_Toc15333"/>
      <w:r/>
      <w:bookmarkStart w:id="93" w:name="_Toc100905205"/>
      <w:r>
        <w:rPr>
          <w:rFonts w:hint="eastAsia" w:ascii="宋体" w:hAnsi="宋体" w:eastAsia="宋体" w:cs="宋体"/>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bookmarkStart w:id="94" w:name="_Toc80264707"/>
      <w:r>
        <w:rPr>
          <w:rFonts w:hint="eastAsia" w:ascii="宋体" w:hAnsi="宋体" w:eastAsia="宋体" w:cs="宋体"/>
          <w:sz w:val="24"/>
          <w:szCs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95" w:name="_Toc23530"/>
      <w:r/>
      <w:bookmarkStart w:id="96" w:name="_Toc96347866"/>
      <w:r/>
      <w:bookmarkStart w:id="97" w:name="_Toc683"/>
      <w:r/>
      <w:bookmarkStart w:id="98" w:name="_Toc4718"/>
      <w:r/>
      <w:bookmarkStart w:id="99" w:name="_Toc103848533"/>
      <w:r/>
      <w:bookmarkStart w:id="100" w:name="_Toc100905206"/>
      <w:r/>
      <w:bookmarkStart w:id="101" w:name="_Toc16078"/>
      <w:r/>
      <w:bookmarkStart w:id="102" w:name="_Toc107246220"/>
      <w:r/>
      <w:bookmarkStart w:id="103" w:name="_Toc104560844"/>
      <w:r>
        <w:rPr>
          <w:rFonts w:hint="eastAsia" w:ascii="宋体" w:hAnsi="宋体" w:eastAsia="宋体" w:cs="宋体"/>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bookmarkStart w:id="104" w:name="_Toc100905207"/>
      <w:r/>
      <w:bookmarkStart w:id="105" w:name="_Toc96347867"/>
      <w:r>
        <w:rPr>
          <w:rFonts w:hint="eastAsia" w:ascii="宋体" w:hAnsi="宋体" w:eastAsia="宋体" w:cs="宋体"/>
          <w:sz w:val="24"/>
          <w:szCs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06" w:name="_Toc7179"/>
      <w:r/>
      <w:bookmarkStart w:id="107" w:name="_Toc107246221"/>
      <w:r/>
      <w:bookmarkStart w:id="108" w:name="_Toc5461"/>
      <w:r/>
      <w:bookmarkStart w:id="109" w:name="_Toc103848534"/>
      <w:r/>
      <w:bookmarkStart w:id="110" w:name="_Toc104560845"/>
      <w:r/>
      <w:bookmarkStart w:id="111" w:name="_Toc15386"/>
      <w:r/>
      <w:bookmarkStart w:id="112" w:name="_Toc29314"/>
      <w:r>
        <w:rPr>
          <w:rFonts w:hint="eastAsia" w:ascii="宋体" w:hAnsi="宋体" w:eastAsia="宋体" w:cs="宋体"/>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7.1所有文件使用的语言文字为中文。专用术语使用外文的，应附有中文注释。</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7.2所有文件中的计量单位，除招标文件有特殊要求外，应采用国家法定计量单位。</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lang w:eastAsia="zh-CN"/>
        </w:rPr>
      </w:pPr>
      <w:r/>
      <w:bookmarkStart w:id="113" w:name="_Toc2432"/>
      <w:r/>
      <w:bookmarkStart w:id="114" w:name="_Toc96347868"/>
      <w:r/>
      <w:bookmarkStart w:id="115" w:name="_Toc104560846"/>
      <w:r/>
      <w:bookmarkStart w:id="116" w:name="_Toc100905208"/>
      <w:r/>
      <w:bookmarkStart w:id="117" w:name="_Toc23132"/>
      <w:r/>
      <w:bookmarkStart w:id="118" w:name="_Toc6288"/>
      <w:r/>
      <w:bookmarkStart w:id="119" w:name="_Toc103848535"/>
      <w:r/>
      <w:bookmarkStart w:id="120" w:name="_Toc29723"/>
      <w:r/>
      <w:bookmarkStart w:id="121" w:name="_Toc107246222"/>
      <w:r>
        <w:rPr>
          <w:rFonts w:hint="eastAsia" w:ascii="宋体" w:hAnsi="宋体" w:eastAsia="宋体" w:cs="宋体"/>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8.1供应商须按照规定的时间、地点参加踏勘，以获得有关编制投标文件和签署合同所涉及现场的资料。供应商承担现场考察所发生的自身费用、责任和风险。</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8.2供应商不按照</w:t>
      </w:r>
      <w:r>
        <w:rPr>
          <w:rFonts w:hint="eastAsia" w:ascii="宋体" w:hAnsi="宋体" w:eastAsia="宋体" w:cs="宋体"/>
          <w:bCs/>
          <w:sz w:val="24"/>
          <w:szCs w:val="24"/>
          <w:highlight w:val="none"/>
        </w:rPr>
        <w:t xml:space="preserve">本须知的规定</w:t>
      </w:r>
      <w:r>
        <w:rPr>
          <w:rFonts w:hint="eastAsia" w:ascii="宋体" w:hAnsi="宋体" w:eastAsia="宋体" w:cs="宋体"/>
          <w:sz w:val="24"/>
          <w:szCs w:val="24"/>
          <w:highlight w:val="none"/>
        </w:rPr>
        <w:t xml:space="preserve">参加项目现场考察的，视同放弃现场考察，</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将不再另行组织现场考察。以此为由，影响后期投标文件相关的投标、签约、履约条件的，是供应商自身的风险，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对此不承担责任。</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22" w:name="_Toc102117275"/>
      <w:r/>
      <w:bookmarkStart w:id="123" w:name="_Toc24357"/>
      <w:r/>
      <w:bookmarkStart w:id="124" w:name="_Toc10913"/>
      <w:r/>
      <w:bookmarkStart w:id="125" w:name="_Toc107246223"/>
      <w:r/>
      <w:bookmarkStart w:id="126" w:name="_Toc23902"/>
      <w:r/>
      <w:bookmarkStart w:id="127" w:name="_Toc4813"/>
      <w:r>
        <w:rPr>
          <w:rFonts w:hint="eastAsia" w:ascii="宋体" w:hAnsi="宋体" w:eastAsia="宋体" w:cs="宋体"/>
          <w:sz w:val="24"/>
          <w:szCs w:val="24"/>
          <w:highlight w:val="none"/>
        </w:rPr>
        <w:t xml:space="preserve">9.开标前答疑会</w:t>
      </w:r>
      <w:bookmarkEnd w:id="122"/>
      <w:r/>
      <w:bookmarkEnd w:id="123"/>
      <w:r/>
      <w:bookmarkEnd w:id="124"/>
      <w:r/>
      <w:bookmarkEnd w:id="125"/>
      <w:r/>
      <w:bookmarkEnd w:id="126"/>
      <w:r/>
      <w:bookmarkEnd w:id="127"/>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9.1召开开标前答疑会的，采购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按规定的时间和地点召开开标前答疑会，澄清供应商提出的询问。</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9.2供应商应按规定的时间和形式将提出的询问送达采购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，以便采购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在会议期间澄清，逾期的询问将不被接受。</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lang w:eastAsia="zh-CN"/>
        </w:rPr>
      </w:pPr>
      <w:r/>
      <w:bookmarkStart w:id="128" w:name="_Toc103848536"/>
      <w:r/>
      <w:bookmarkStart w:id="129" w:name="_Toc12956"/>
      <w:r/>
      <w:bookmarkStart w:id="130" w:name="_Toc3884"/>
      <w:r/>
      <w:bookmarkStart w:id="131" w:name="_Toc104560847"/>
      <w:r/>
      <w:bookmarkStart w:id="132" w:name="_Toc17051"/>
      <w:r/>
      <w:bookmarkStart w:id="133" w:name="_Toc100905210"/>
      <w:r/>
      <w:bookmarkStart w:id="134" w:name="_Toc107246224"/>
      <w:r/>
      <w:bookmarkStart w:id="135" w:name="_Toc19831"/>
      <w:r/>
      <w:bookmarkStart w:id="136" w:name="_Toc96347869"/>
      <w:r>
        <w:rPr>
          <w:rFonts w:hint="eastAsia" w:ascii="宋体" w:hAnsi="宋体" w:eastAsia="宋体" w:cs="宋体"/>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供应商为联合体形式的，应遵守以下规定：</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（1）联合体各方必须签订联合体协议书，明确联合体牵头人和各方权利、义务及分工、合同工作量比例；</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（2）联合体各方均应当符合《政府采购法》第二十二条第一款规定的条件；</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（3）除另有规定外，联合体各方中至少有一方应当符合采购人规定的特定资格条件；</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（4）联合体中有同类资质的供应商按照联合体分工承担相同工作的，应当按照资质等级较低的供应商确定资质等级；</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37" w:name="_Toc100905213"/>
      <w:r/>
      <w:bookmarkStart w:id="138" w:name="_Toc8435"/>
      <w:r/>
      <w:bookmarkStart w:id="139" w:name="_Toc25524"/>
      <w:r/>
      <w:bookmarkStart w:id="140" w:name="_Toc103848537"/>
      <w:r/>
      <w:bookmarkStart w:id="141" w:name="_Toc104560848"/>
      <w:r/>
      <w:bookmarkStart w:id="142" w:name="_Toc19195"/>
      <w:r/>
      <w:bookmarkStart w:id="143" w:name="_Toc107246225"/>
      <w:r/>
      <w:bookmarkStart w:id="144" w:name="_Toc100905211"/>
      <w:r/>
      <w:bookmarkStart w:id="145" w:name="_Toc11849"/>
      <w:r>
        <w:rPr>
          <w:rFonts w:hint="eastAsia" w:ascii="宋体" w:hAnsi="宋体" w:eastAsia="宋体" w:cs="宋体"/>
          <w:sz w:val="24"/>
          <w:szCs w:val="24"/>
          <w:highlight w:val="none"/>
        </w:rPr>
        <w:t xml:space="preserve">11.分包</w:t>
      </w:r>
      <w:bookmarkEnd w:id="137"/>
      <w:r/>
      <w:bookmarkEnd w:id="138"/>
      <w:r/>
      <w:bookmarkEnd w:id="139"/>
      <w:r/>
      <w:bookmarkEnd w:id="140"/>
      <w:r/>
      <w:bookmarkEnd w:id="141"/>
      <w:r/>
      <w:bookmarkEnd w:id="142"/>
      <w:r/>
      <w:bookmarkEnd w:id="143"/>
      <w:r/>
      <w:bookmarkEnd w:id="145"/>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11.1采购人允许采用分包方式履行合同的，中标人可以依法在中标后将中标项目的非主体、非关键性工作采取分包方式履行合同。</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lang w:eastAsia="zh-CN"/>
        </w:rPr>
      </w:pPr>
      <w:r/>
      <w:bookmarkStart w:id="146" w:name="_Toc107246226"/>
      <w:r/>
      <w:bookmarkStart w:id="147" w:name="_Toc26696"/>
      <w:r/>
      <w:bookmarkStart w:id="148" w:name="_Toc28218"/>
      <w:r/>
      <w:bookmarkStart w:id="149" w:name="_Toc12434"/>
      <w:r/>
      <w:bookmarkStart w:id="150" w:name="_Toc9858"/>
      <w:r/>
      <w:bookmarkStart w:id="151" w:name="_Toc104560849"/>
      <w:r>
        <w:rPr>
          <w:rFonts w:hint="eastAsia" w:ascii="宋体" w:hAnsi="宋体" w:eastAsia="宋体" w:cs="宋体"/>
          <w:sz w:val="24"/>
          <w:szCs w:val="24"/>
          <w:highlight w:val="none"/>
        </w:rPr>
        <w:t xml:space="preserve">12.样品</w:t>
      </w:r>
      <w:bookmarkEnd w:id="146"/>
      <w:r/>
      <w:bookmarkEnd w:id="147"/>
      <w:r/>
      <w:bookmarkEnd w:id="148"/>
      <w:r/>
      <w:bookmarkEnd w:id="149"/>
      <w:r/>
      <w:bookmarkEnd w:id="150"/>
      <w:r/>
      <w:bookmarkEnd w:id="151"/>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5"/>
        <w:spacing w:before="156" w:line="360" w:lineRule="auto"/>
        <w:rPr>
          <w:rFonts w:hint="eastAsia" w:ascii="宋体" w:hAnsi="宋体" w:eastAsia="宋体" w:cs="宋体"/>
          <w:sz w:val="24"/>
          <w:szCs w:val="24"/>
          <w:highlight w:val="none"/>
        </w:rPr>
      </w:pPr>
      <w:r/>
      <w:bookmarkEnd w:id="136"/>
      <w:r/>
      <w:bookmarkEnd w:id="144"/>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本项目采购资金已列入政府采购预算，预算金额见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5"/>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本项目最高限价要求见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52" w:name="_Toc1447"/>
      <w:r/>
      <w:bookmarkStart w:id="153" w:name="_Toc6933"/>
      <w:r/>
      <w:bookmarkStart w:id="154" w:name="_Toc107246229"/>
      <w:r/>
      <w:bookmarkStart w:id="155" w:name="_Toc1887"/>
      <w:r/>
      <w:bookmarkStart w:id="156" w:name="_Toc104560852"/>
      <w:r/>
      <w:bookmarkStart w:id="157" w:name="_Toc1124"/>
      <w:r>
        <w:rPr>
          <w:rFonts w:hint="eastAsia" w:ascii="宋体" w:hAnsi="宋体" w:eastAsia="宋体" w:cs="宋体"/>
          <w:sz w:val="24"/>
          <w:szCs w:val="24"/>
          <w:highlight w:val="none"/>
        </w:rPr>
        <w:t xml:space="preserve">15.</w:t>
      </w:r>
      <w:r>
        <w:rPr>
          <w:rFonts w:hint="eastAsia" w:ascii="宋体" w:hAnsi="宋体" w:eastAsia="宋体" w:cs="宋体"/>
          <w:bCs w:val="0"/>
          <w:sz w:val="24"/>
          <w:szCs w:val="24"/>
          <w:highlight w:val="none"/>
        </w:rPr>
        <w:t xml:space="preserve"> 供应商</w:t>
      </w:r>
      <w:r>
        <w:rPr>
          <w:rFonts w:hint="eastAsia" w:ascii="宋体" w:hAnsi="宋体" w:eastAsia="宋体" w:cs="宋体"/>
          <w:sz w:val="24"/>
          <w:szCs w:val="24"/>
          <w:highlight w:val="none"/>
        </w:rPr>
        <w:t xml:space="preserve">资格条件</w:t>
      </w:r>
      <w:bookmarkEnd w:id="152"/>
      <w:r/>
      <w:bookmarkEnd w:id="153"/>
      <w:r/>
      <w:bookmarkEnd w:id="154"/>
      <w:r/>
      <w:bookmarkEnd w:id="155"/>
      <w:r/>
      <w:bookmarkEnd w:id="156"/>
      <w:r/>
      <w:bookmarkEnd w:id="157"/>
      <w:r>
        <w:rPr>
          <w:rFonts w:hint="eastAsia" w:ascii="宋体" w:hAnsi="宋体" w:eastAsia="宋体" w:cs="宋体"/>
          <w:sz w:val="24"/>
          <w:szCs w:val="24"/>
          <w:highlight w:val="none"/>
        </w:rPr>
      </w:r>
      <w:r/>
    </w:p>
    <w:p>
      <w:pPr>
        <w:pStyle w:val="685"/>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w:t>
      </w: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rPr>
        <w:t xml:space="preserve">资格条件见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58" w:name="_Toc4755"/>
      <w:r/>
      <w:bookmarkStart w:id="159" w:name="_Toc31830"/>
      <w:r/>
      <w:bookmarkStart w:id="160" w:name="_Toc4452"/>
      <w:r/>
      <w:bookmarkStart w:id="161" w:name="_Toc2165"/>
      <w:r/>
      <w:bookmarkStart w:id="162" w:name="_Toc107246230"/>
      <w:r>
        <w:rPr>
          <w:rFonts w:hint="eastAsia" w:ascii="宋体" w:hAnsi="宋体" w:eastAsia="宋体" w:cs="宋体"/>
          <w:sz w:val="24"/>
          <w:szCs w:val="24"/>
          <w:highlight w:val="none"/>
        </w:rPr>
        <w:t xml:space="preserve">二．招标文件</w:t>
      </w:r>
      <w:bookmarkEnd w:id="94"/>
      <w:r/>
      <w:bookmarkEnd w:id="158"/>
      <w:r/>
      <w:bookmarkEnd w:id="159"/>
      <w:r/>
      <w:bookmarkEnd w:id="160"/>
      <w:r/>
      <w:bookmarkEnd w:id="161"/>
      <w:r/>
      <w:bookmarkEnd w:id="162"/>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63" w:name="_Toc107246231"/>
      <w:r/>
      <w:bookmarkStart w:id="164" w:name="_Toc8614"/>
      <w:r/>
      <w:bookmarkStart w:id="165" w:name="_Toc100905217"/>
      <w:r/>
      <w:bookmarkStart w:id="166" w:name="_Toc104560854"/>
      <w:r/>
      <w:bookmarkStart w:id="167" w:name="_Toc775"/>
      <w:r/>
      <w:bookmarkStart w:id="168" w:name="_Toc103848540"/>
      <w:r/>
      <w:bookmarkStart w:id="169" w:name="_Toc96347871"/>
      <w:r/>
      <w:bookmarkStart w:id="170" w:name="_Toc15749"/>
      <w:r/>
      <w:bookmarkStart w:id="171" w:name="_Toc29647"/>
      <w:r>
        <w:rPr>
          <w:rFonts w:hint="eastAsia" w:ascii="宋体" w:hAnsi="宋体" w:eastAsia="宋体" w:cs="宋体"/>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eastAsia="宋体" w:cs="宋体"/>
          <w:sz w:val="24"/>
          <w:szCs w:val="24"/>
          <w:highlight w:val="none"/>
        </w:rPr>
      </w:r>
      <w:r/>
    </w:p>
    <w:p>
      <w:pPr>
        <w:pStyle w:val="862"/>
        <w:ind w:firstLine="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16.1招标文件各章节的内容如下：</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第一章：招标公告</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第二章：投标人须知</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第三章：政府采购合同条款及格式</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第四章：采购需求</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第五章：评标方法与评标标准</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w:t>
      </w:r>
      <w:bookmarkStart w:id="172" w:name="_Toc96347872"/>
      <w:r>
        <w:rPr>
          <w:rFonts w:hint="eastAsia" w:ascii="宋体" w:hAnsi="宋体" w:eastAsia="宋体" w:cs="宋体"/>
          <w:sz w:val="24"/>
          <w:szCs w:val="24"/>
          <w:highlight w:val="none"/>
        </w:rPr>
        <w:t xml:space="preserve">投标文件格式</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对招标文件所作的澄清、修改，构成招标文件的组成部分。</w:t>
      </w:r>
      <w:r>
        <w:rPr>
          <w:rFonts w:hint="eastAsia" w:ascii="宋体" w:hAnsi="宋体" w:eastAsia="宋体" w:cs="宋体"/>
          <w:sz w:val="24"/>
          <w:szCs w:val="24"/>
          <w:highlight w:val="none"/>
        </w:rPr>
      </w:r>
      <w:r/>
    </w:p>
    <w:p>
      <w:pPr>
        <w:pStyle w:val="685"/>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如标书制作工具中格式和内容与“江苏政府采购网/中国政府采购网”发布的招标文件不一致的，以上述网站发布的招标文件为准。</w:t>
      </w:r>
      <w:r>
        <w:rPr>
          <w:rFonts w:hint="eastAsia" w:ascii="宋体" w:hAnsi="宋体" w:eastAsia="宋体" w:cs="宋体"/>
          <w:b/>
          <w:sz w:val="24"/>
          <w:szCs w:val="24"/>
          <w:highlight w:val="none"/>
        </w:rPr>
      </w:r>
      <w:r/>
    </w:p>
    <w:p>
      <w:pPr>
        <w:pStyle w:val="685"/>
        <w:ind w:firstLine="422"/>
        <w:spacing w:before="156"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★招标文件中标注</w:t>
      </w:r>
      <w:r>
        <w:rPr>
          <w:rFonts w:hint="eastAsia" w:ascii="宋体" w:hAnsi="宋体" w:eastAsia="宋体" w:cs="宋体"/>
          <w:bCs/>
          <w:sz w:val="24"/>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Cs/>
          <w:sz w:val="24"/>
          <w:szCs w:val="24"/>
          <w:highlight w:val="none"/>
        </w:rPr>
        <w:t xml:space="preserve">”</w:t>
      </w:r>
      <w:r>
        <w:rPr>
          <w:rFonts w:hint="eastAsia" w:ascii="宋体" w:hAnsi="宋体" w:eastAsia="宋体" w:cs="宋体"/>
          <w:b/>
          <w:sz w:val="24"/>
          <w:szCs w:val="24"/>
          <w:highlight w:val="none"/>
        </w:rPr>
        <w:t xml:space="preserve">符号的条款为实质性要求条款。</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16.2供应商应仔细阅读和检查招标文件的全部内容。如发现招标文件内容不全，应及时向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提出，以便补齐。</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按照招标文件要求编制投标文件。任何对招标文件的忽略或误解，不能作为投标文件存在缺陷或瑕疵的理由，其风险由</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承担。</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16.4本项目招标文件如包括多个分包，则除非特别说明，招标文件所列各项要求均为各分包通用要求。</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172"/>
      <w:r/>
      <w:bookmarkStart w:id="173" w:name="_Toc96347873"/>
      <w:r/>
      <w:bookmarkStart w:id="174" w:name="_Toc104560855"/>
      <w:r/>
      <w:bookmarkStart w:id="175" w:name="_Toc19978"/>
      <w:r/>
      <w:bookmarkStart w:id="176" w:name="_Toc28666"/>
      <w:r/>
      <w:bookmarkStart w:id="177" w:name="_Toc107246232"/>
      <w:r/>
      <w:bookmarkStart w:id="178" w:name="_Toc19430"/>
      <w:r/>
      <w:bookmarkStart w:id="179" w:name="_Toc103848541"/>
      <w:r/>
      <w:bookmarkStart w:id="180" w:name="_Toc2940"/>
      <w:r/>
      <w:bookmarkStart w:id="181" w:name="_Toc100905218"/>
      <w:r>
        <w:rPr>
          <w:rFonts w:hint="eastAsia" w:ascii="宋体" w:hAnsi="宋体" w:eastAsia="宋体" w:cs="宋体"/>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bookmarkStart w:id="182" w:name="_Toc100905219"/>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17.2澄清或者修改的内容可能影响投标文件编制的，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应当在投标截止时间至少15日前，以书面形式通知所有获取招标文件的潜在供应商；不足15日的，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应当顺延提交投标文件的截止时间。</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182"/>
      <w:r/>
      <w:bookmarkStart w:id="183" w:name="_Toc26795"/>
      <w:r/>
      <w:bookmarkStart w:id="184" w:name="_Toc12745"/>
      <w:r/>
      <w:bookmarkStart w:id="185" w:name="_Toc25252"/>
      <w:r/>
      <w:bookmarkStart w:id="186" w:name="_Toc31995"/>
      <w:r>
        <w:rPr>
          <w:rFonts w:hint="eastAsia" w:ascii="宋体" w:hAnsi="宋体" w:eastAsia="宋体" w:cs="宋体"/>
          <w:sz w:val="24"/>
          <w:szCs w:val="24"/>
          <w:highlight w:val="none"/>
        </w:rPr>
        <w:t xml:space="preserve">三．投标文件</w:t>
      </w:r>
      <w:bookmarkEnd w:id="42"/>
      <w:r/>
      <w:bookmarkEnd w:id="43"/>
      <w:r/>
      <w:bookmarkEnd w:id="44"/>
      <w:r/>
      <w:bookmarkEnd w:id="183"/>
      <w:r/>
      <w:bookmarkEnd w:id="184"/>
      <w:r/>
      <w:bookmarkEnd w:id="185"/>
      <w:r/>
      <w:bookmarkEnd w:id="186"/>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187" w:name="_Toc31248"/>
      <w:r/>
      <w:bookmarkStart w:id="188" w:name="_Toc103848543"/>
      <w:r/>
      <w:bookmarkStart w:id="189" w:name="_Toc26708"/>
      <w:r/>
      <w:bookmarkStart w:id="190" w:name="_Toc32487"/>
      <w:r/>
      <w:bookmarkStart w:id="191" w:name="_Toc107246234"/>
      <w:r/>
      <w:bookmarkStart w:id="192" w:name="_Toc96347875"/>
      <w:r/>
      <w:bookmarkStart w:id="193" w:name="_Toc100905221"/>
      <w:r/>
      <w:bookmarkStart w:id="194" w:name="_Toc104560857"/>
      <w:r/>
      <w:bookmarkStart w:id="195" w:name="_Toc6504"/>
      <w:r>
        <w:rPr>
          <w:rFonts w:hint="eastAsia" w:ascii="宋体" w:hAnsi="宋体" w:eastAsia="宋体" w:cs="宋体"/>
          <w:sz w:val="24"/>
          <w:szCs w:val="24"/>
          <w:highlight w:val="none"/>
        </w:rPr>
        <w:t xml:space="preserve">18.投标文件的组成</w:t>
      </w:r>
      <w:bookmarkEnd w:id="187"/>
      <w:r/>
      <w:bookmarkEnd w:id="188"/>
      <w:r/>
      <w:bookmarkEnd w:id="189"/>
      <w:r/>
      <w:bookmarkEnd w:id="190"/>
      <w:r/>
      <w:bookmarkEnd w:id="191"/>
      <w:r/>
      <w:bookmarkEnd w:id="194"/>
      <w:r/>
      <w:bookmarkEnd w:id="195"/>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18.1投标文件由价格及商务部分、技术部分以及其他部分组成，格式见招标文件第六章《投标文件格式》。</w:t>
      </w:r>
      <w:r>
        <w:rPr>
          <w:rFonts w:hint="eastAsia" w:ascii="宋体" w:hAnsi="宋体" w:eastAsia="宋体" w:cs="宋体"/>
          <w:sz w:val="24"/>
          <w:szCs w:val="24"/>
          <w:highlight w:val="none"/>
        </w:rPr>
      </w:r>
      <w:r/>
    </w:p>
    <w:p>
      <w:pPr>
        <w:pStyle w:val="685"/>
        <w:ind w:firstLine="422"/>
        <w:spacing w:before="156" w:after="0" w:line="360" w:lineRule="auto"/>
        <w:rPr>
          <w:rFonts w:hint="eastAsia" w:ascii="宋体" w:hAnsi="宋体" w:eastAsia="宋体" w:cs="宋体"/>
          <w:b/>
          <w:sz w:val="24"/>
          <w:szCs w:val="24"/>
          <w:highlight w:val="none"/>
        </w:rPr>
      </w:pPr>
      <w:r/>
      <w:bookmarkStart w:id="196" w:name="_Toc107246235"/>
      <w:r/>
      <w:bookmarkStart w:id="197" w:name="_Toc104560858"/>
      <w:r>
        <w:rPr>
          <w:rFonts w:hint="eastAsia" w:ascii="宋体" w:hAnsi="宋体" w:eastAsia="宋体" w:cs="宋体"/>
          <w:b/>
          <w:sz w:val="24"/>
          <w:szCs w:val="24"/>
          <w:highlight w:val="none"/>
        </w:rPr>
        <w:t xml:space="preserve">18.2投标文件的价格及商务部分，包括但不限于下列文件：</w:t>
      </w:r>
      <w:r>
        <w:rPr>
          <w:rFonts w:hint="eastAsia" w:ascii="宋体" w:hAnsi="宋体" w:eastAsia="宋体" w:cs="宋体"/>
          <w:b/>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（2）法定代表人（单位负责人）身份证明，格式见附件。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（3）法定代表人（单位负责人）授权委托书（适用于法人/非法人），格式见附件。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（4）开标一览表，格式见附件。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（5）分项报价表，格式见附件。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（6）商务条款偏离表，格式见附件。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（7）投标人具备投标资格的证明文件：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（7-1-1）法人或者其他组织的营业执照等证明文件，自然人的身份证明。</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（a）投标人为企业（包括合伙企业）的，应提供有效的“营业执照”。</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（b）投标人为事业单位的，应提供有效的“事业单位法人证书”。</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（c）投标人是非企业机构的，应提供有效的“执业许可证”、“登记证书”等证明文件。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（d）投标人是个体工商户的，应提供有效的“个体工商户营业执照”。</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（e）投标人是自然人的，应提供有效的自然人身份证明。</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（f）若本项目允许分支机构参加投标，则分支机构参加投标的，此处可提供该分支机构或其所属法人或其他组织的相应证明文件。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（7-1-2）工商变更登记文件（如需），如发生了单位名称等变更的，需提供工商变更登记文件。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（7-2）具有良好的商业信誉和健全的财务会计制度。</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（7-3）具有履行合同所必需的设备和专业技术能力，格式见附件。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（7-4）有依法缴纳税收的良好记录。</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（7-5）有依法缴纳社会保障资金的良好记录。</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（7-6）参加政府采购活动前三年内，在经营活动中没有重大违法记录，提供声明函原件，格式见附件。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（7-7）无不良信用记录承诺函（投标人自行查询适用），格式见附件。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（7-8）招标文件要求的其它实质性资格资信证明文件。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（8）公章授权书（如需），格式见附件。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685"/>
        <w:ind w:firstLine="422"/>
        <w:spacing w:before="156"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18.3</w:t>
      </w:r>
      <w:r>
        <w:rPr>
          <w:rFonts w:hint="eastAsia" w:ascii="宋体" w:hAnsi="宋体" w:eastAsia="宋体" w:cs="宋体"/>
          <w:b/>
          <w:sz w:val="24"/>
          <w:szCs w:val="24"/>
          <w:highlight w:val="none"/>
          <w:lang w:val="zh-CN"/>
        </w:rPr>
        <w:t xml:space="preserve">投标文件的技术部分，包括但不限于下列文件：</w:t>
      </w:r>
      <w:r>
        <w:rPr>
          <w:rFonts w:hint="eastAsia" w:ascii="宋体" w:hAnsi="宋体" w:eastAsia="宋体" w:cs="宋体"/>
          <w:b/>
          <w:sz w:val="24"/>
          <w:szCs w:val="24"/>
          <w:highlight w:val="none"/>
        </w:rPr>
      </w:r>
      <w:r/>
    </w:p>
    <w:p>
      <w:pPr>
        <w:pStyle w:val="685"/>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（1）技术条款偏离表，格式见附件。</w:t>
      </w:r>
      <w:r>
        <w:rPr>
          <w:rFonts w:hint="eastAsia" w:ascii="宋体" w:hAnsi="宋体" w:eastAsia="宋体" w:cs="宋体"/>
          <w:sz w:val="24"/>
          <w:szCs w:val="24"/>
          <w:highlight w:val="none"/>
        </w:rPr>
      </w:r>
      <w:r/>
    </w:p>
    <w:p>
      <w:pPr>
        <w:pStyle w:val="685"/>
        <w:ind w:firstLine="315"/>
        <w:jc w:val="left"/>
        <w:spacing w:before="156" w:after="0" w:line="360" w:lineRule="auto"/>
        <w:rPr>
          <w:rFonts w:ascii="宋体" w:hAnsi="宋体" w:eastAsia="宋体" w:cs="宋体"/>
          <w:b/>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服务方案等</w:t>
      </w:r>
      <w:r>
        <w:rPr>
          <w:rFonts w:ascii="宋体" w:hAnsi="宋体" w:eastAsia="宋体" w:cs="宋体"/>
          <w:b/>
          <w:sz w:val="24"/>
          <w:szCs w:val="24"/>
          <w:highlight w:val="none"/>
          <w:lang w:val="en-US" w:eastAsia="zh-CN"/>
        </w:rPr>
      </w:r>
      <w:r/>
    </w:p>
    <w:p>
      <w:pPr>
        <w:pStyle w:val="685"/>
        <w:ind w:firstLine="422"/>
        <w:spacing w:before="156"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18.4投标文件的其他部分</w:t>
      </w:r>
      <w:r>
        <w:rPr>
          <w:rFonts w:hint="eastAsia" w:ascii="宋体" w:hAnsi="宋体" w:eastAsia="宋体" w:cs="宋体"/>
          <w:b/>
          <w:sz w:val="24"/>
          <w:szCs w:val="24"/>
          <w:highlight w:val="none"/>
        </w:rPr>
      </w:r>
      <w:r/>
    </w:p>
    <w:p>
      <w:pPr>
        <w:pStyle w:val="685"/>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提供符合政府采购政策的证明材料。</w:t>
      </w:r>
      <w:r>
        <w:rPr>
          <w:rFonts w:hint="eastAsia" w:ascii="宋体" w:hAnsi="宋体" w:eastAsia="宋体" w:cs="宋体"/>
          <w:sz w:val="24"/>
          <w:szCs w:val="24"/>
          <w:highlight w:val="none"/>
        </w:rPr>
      </w:r>
      <w:r/>
    </w:p>
    <w:p>
      <w:pPr>
        <w:pStyle w:val="685"/>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投标人认为需提供的其他文件或证明材料。</w:t>
      </w:r>
      <w:r>
        <w:rPr>
          <w:rFonts w:hint="eastAsia" w:ascii="宋体" w:hAnsi="宋体" w:eastAsia="宋体" w:cs="宋体"/>
          <w:sz w:val="24"/>
          <w:szCs w:val="24"/>
          <w:highlight w:val="none"/>
        </w:rPr>
      </w:r>
      <w:r/>
    </w:p>
    <w:p>
      <w:pPr>
        <w:pStyle w:val="685"/>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要求投标人提交的其他文件材料或证明材料</w:t>
      </w:r>
      <w:r>
        <w:rPr>
          <w:rFonts w:hint="eastAsia" w:ascii="宋体" w:hAnsi="宋体" w:eastAsia="宋体" w:cs="宋体"/>
          <w:sz w:val="24"/>
          <w:szCs w:val="24"/>
          <w:highlight w:val="none"/>
        </w:rPr>
      </w:r>
      <w:r/>
    </w:p>
    <w:p>
      <w:pPr>
        <w:pStyle w:val="861"/>
        <w:ind w:left="210" w:right="210"/>
        <w:rPr>
          <w:rFonts w:hint="eastAsia" w:ascii="宋体" w:hAnsi="宋体" w:eastAsia="宋体" w:cs="宋体"/>
          <w:sz w:val="24"/>
          <w:szCs w:val="24"/>
          <w:highlight w:val="none"/>
        </w:rPr>
      </w:pPr>
      <w:r/>
      <w:bookmarkEnd w:id="45"/>
      <w:r/>
      <w:bookmarkEnd w:id="192"/>
      <w:r/>
      <w:bookmarkEnd w:id="193"/>
      <w:r/>
      <w:bookmarkEnd w:id="196"/>
      <w:r/>
      <w:bookmarkEnd w:id="197"/>
      <w:r/>
      <w:bookmarkStart w:id="198" w:name="_Toc2967"/>
      <w:r/>
      <w:bookmarkStart w:id="199" w:name="_Toc17577"/>
      <w:r/>
      <w:bookmarkStart w:id="200" w:name="_Toc4211"/>
      <w:r>
        <w:rPr>
          <w:rFonts w:hint="eastAsia" w:ascii="宋体" w:hAnsi="宋体" w:eastAsia="宋体" w:cs="宋体"/>
          <w:sz w:val="24"/>
          <w:szCs w:val="24"/>
          <w:highlight w:val="none"/>
        </w:rPr>
        <w:t xml:space="preserve">19.投标文件编制的原则</w:t>
      </w:r>
      <w:bookmarkEnd w:id="198"/>
      <w:r/>
      <w:bookmarkEnd w:id="199"/>
      <w:r/>
      <w:bookmarkEnd w:id="200"/>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19.1</w:t>
      </w:r>
      <w:r>
        <w:rPr>
          <w:rFonts w:hint="eastAsia" w:ascii="宋体" w:hAnsi="宋体" w:eastAsia="宋体" w:cs="宋体"/>
          <w:sz w:val="24"/>
          <w:szCs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19.2</w:t>
      </w:r>
      <w:r>
        <w:rPr>
          <w:rFonts w:hint="eastAsia" w:ascii="宋体" w:hAnsi="宋体" w:eastAsia="宋体" w:cs="宋体"/>
          <w:sz w:val="24"/>
          <w:szCs w:val="24"/>
          <w:highlight w:val="none"/>
        </w:rPr>
        <w:t xml:space="preserve">投标人必须保证投标文件所提供的全部资料真实可靠。</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19.3</w:t>
      </w:r>
      <w:r>
        <w:rPr>
          <w:rFonts w:hint="eastAsia" w:ascii="宋体" w:hAnsi="宋体" w:eastAsia="宋体" w:cs="宋体"/>
          <w:sz w:val="24"/>
          <w:szCs w:val="24"/>
          <w:highlight w:val="none"/>
        </w:rPr>
        <w:t xml:space="preserve">投标文件须对招标文件中的内容做出实质性和完整的响应。</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01" w:name="_Toc5166"/>
      <w:r/>
      <w:bookmarkStart w:id="202" w:name="_Toc32399"/>
      <w:r/>
      <w:bookmarkStart w:id="203" w:name="_Toc107246236"/>
      <w:r/>
      <w:bookmarkStart w:id="204" w:name="_Toc10373"/>
      <w:r/>
      <w:bookmarkStart w:id="205" w:name="_Toc11550"/>
      <w:r>
        <w:rPr>
          <w:rFonts w:hint="eastAsia" w:ascii="宋体" w:hAnsi="宋体" w:eastAsia="宋体" w:cs="宋体"/>
          <w:sz w:val="24"/>
          <w:szCs w:val="24"/>
          <w:highlight w:val="none"/>
        </w:rPr>
        <w:t xml:space="preserve">20.投标报价</w:t>
      </w:r>
      <w:bookmarkEnd w:id="201"/>
      <w:r/>
      <w:bookmarkEnd w:id="202"/>
      <w:r/>
      <w:bookmarkEnd w:id="203"/>
      <w:r/>
      <w:bookmarkEnd w:id="204"/>
      <w:r/>
      <w:bookmarkEnd w:id="205"/>
      <w:r>
        <w:rPr>
          <w:rFonts w:hint="eastAsia" w:ascii="宋体" w:hAnsi="宋体" w:eastAsia="宋体" w:cs="宋体"/>
          <w:sz w:val="24"/>
          <w:szCs w:val="24"/>
          <w:highlight w:val="none"/>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20.1所有投标均以人民币报价，应包括国家规定的增值税税金。</w:t>
      </w:r>
      <w:r>
        <w:rPr>
          <w:rFonts w:hint="eastAsia" w:ascii="宋体" w:hAnsi="宋体" w:eastAsia="宋体" w:cs="宋体"/>
          <w:bCs/>
          <w:sz w:val="24"/>
          <w:szCs w:val="24"/>
          <w:highlight w:val="none"/>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20.3</w:t>
      </w:r>
      <w:r>
        <w:rPr>
          <w:rFonts w:hint="eastAsia" w:ascii="宋体" w:hAnsi="宋体" w:eastAsia="宋体" w:cs="宋体"/>
          <w:sz w:val="24"/>
          <w:szCs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20.4</w:t>
      </w:r>
      <w:r>
        <w:rPr>
          <w:rFonts w:hint="eastAsia" w:ascii="宋体" w:hAnsi="宋体" w:eastAsia="宋体" w:cs="宋体"/>
          <w:sz w:val="24"/>
          <w:szCs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06" w:name="_Toc103848545"/>
      <w:r/>
      <w:bookmarkStart w:id="207" w:name="_Toc12798"/>
      <w:r/>
      <w:bookmarkStart w:id="208" w:name="_Toc96347878"/>
      <w:r/>
      <w:bookmarkStart w:id="209" w:name="_Toc103848544"/>
      <w:r/>
      <w:bookmarkStart w:id="210" w:name="_Toc100905223"/>
      <w:r/>
      <w:bookmarkStart w:id="211" w:name="_Toc100905224"/>
      <w:r/>
      <w:bookmarkStart w:id="212" w:name="_Toc24016"/>
      <w:r/>
      <w:bookmarkStart w:id="213" w:name="_Toc13556"/>
      <w:r/>
      <w:bookmarkStart w:id="214" w:name="_Toc104560859"/>
      <w:r/>
      <w:bookmarkStart w:id="215" w:name="_Toc6307"/>
      <w:r/>
      <w:bookmarkStart w:id="216" w:name="_Toc107246237"/>
      <w:r>
        <w:rPr>
          <w:rFonts w:hint="eastAsia" w:ascii="宋体" w:hAnsi="宋体" w:eastAsia="宋体" w:cs="宋体"/>
          <w:sz w:val="24"/>
          <w:szCs w:val="24"/>
          <w:highlight w:val="none"/>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21.1投标有效期</w:t>
      </w:r>
      <w:r>
        <w:rPr>
          <w:rFonts w:hint="eastAsia" w:ascii="宋体" w:hAnsi="宋体" w:eastAsia="宋体" w:cs="宋体"/>
          <w:bCs/>
          <w:sz w:val="24"/>
          <w:szCs w:val="24"/>
          <w:highlight w:val="none"/>
          <w:lang w:val="en-US" w:eastAsia="zh-CN"/>
        </w:rPr>
        <w:t xml:space="preserve">为</w:t>
      </w:r>
      <w:r>
        <w:rPr>
          <w:rFonts w:hint="eastAsia" w:ascii="宋体" w:hAnsi="宋体" w:eastAsia="宋体" w:cs="宋体"/>
          <w:bCs/>
          <w:sz w:val="24"/>
          <w:szCs w:val="24"/>
          <w:highlight w:val="none"/>
          <w:u w:val="single"/>
          <w:lang w:val="en-US" w:eastAsia="zh-CN"/>
        </w:rPr>
        <w:t xml:space="preserve">60天</w:t>
      </w:r>
      <w:r>
        <w:rPr>
          <w:rFonts w:hint="eastAsia" w:ascii="宋体" w:hAnsi="宋体" w:eastAsia="宋体" w:cs="宋体"/>
          <w:bCs/>
          <w:sz w:val="24"/>
          <w:szCs w:val="24"/>
          <w:highlight w:val="none"/>
        </w:rPr>
        <w:t xml:space="preserve">，在此期间投标文件对投标人具有法</w:t>
      </w:r>
      <w:r>
        <w:rPr>
          <w:rFonts w:hint="eastAsia" w:ascii="宋体" w:hAnsi="宋体" w:eastAsia="宋体" w:cs="宋体"/>
          <w:sz w:val="24"/>
          <w:szCs w:val="24"/>
          <w:highlight w:val="none"/>
        </w:rPr>
        <w:t xml:space="preserve">律约束力，以保证采购人有足够的时间完成评标、定标以及签订合同。投标有效期从投标截止之日起计算。</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21.2特殊情况需延长投标有效期的，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可于投标有效期届满之前，要求投标人同意延长有效期，</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的要求与投标人的答复均应为书面形式。</w:t>
      </w:r>
      <w:r>
        <w:rPr>
          <w:rFonts w:hint="eastAsia" w:ascii="宋体" w:hAnsi="宋体" w:eastAsia="宋体" w:cs="宋体"/>
          <w:bCs/>
          <w:sz w:val="24"/>
          <w:szCs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lang w:eastAsia="zh-CN"/>
        </w:rPr>
      </w:pPr>
      <w:r/>
      <w:bookmarkStart w:id="217" w:name="_Toc22490"/>
      <w:r/>
      <w:bookmarkStart w:id="218" w:name="_Toc107246238"/>
      <w:r/>
      <w:bookmarkStart w:id="219" w:name="_Toc104560860"/>
      <w:r/>
      <w:bookmarkStart w:id="220" w:name="_Toc20130"/>
      <w:r/>
      <w:bookmarkStart w:id="221" w:name="_Toc17120"/>
      <w:r/>
      <w:bookmarkStart w:id="222" w:name="_Toc17827"/>
      <w:r>
        <w:rPr>
          <w:rFonts w:hint="eastAsia" w:ascii="宋体" w:hAnsi="宋体" w:eastAsia="宋体" w:cs="宋体"/>
          <w:sz w:val="24"/>
          <w:szCs w:val="24"/>
          <w:highlight w:val="none"/>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如有，本项目不涉及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61"/>
        <w:ind w:left="0" w:right="210"/>
        <w:spacing w:line="360" w:lineRule="auto"/>
        <w:rPr>
          <w:rFonts w:hint="eastAsia" w:ascii="宋体" w:hAnsi="宋体" w:eastAsia="宋体" w:cs="宋体"/>
          <w:sz w:val="24"/>
          <w:szCs w:val="24"/>
          <w:highlight w:val="none"/>
        </w:rPr>
      </w:pPr>
      <w:r/>
      <w:bookmarkStart w:id="223" w:name="_Toc9388"/>
      <w:r/>
      <w:bookmarkStart w:id="224" w:name="_Toc100905225"/>
      <w:r/>
      <w:bookmarkStart w:id="225" w:name="_Toc104560861"/>
      <w:r/>
      <w:bookmarkStart w:id="226" w:name="_Toc107246239"/>
      <w:r/>
      <w:bookmarkStart w:id="227" w:name="_Toc96347880"/>
      <w:r/>
      <w:bookmarkStart w:id="228" w:name="_Toc103848546"/>
      <w:r/>
      <w:bookmarkStart w:id="229" w:name="_Toc19689"/>
      <w:r/>
      <w:bookmarkStart w:id="230" w:name="_Toc23087"/>
      <w:r/>
      <w:bookmarkStart w:id="231" w:name="_Toc19130"/>
      <w:r>
        <w:rPr>
          <w:rFonts w:hint="eastAsia" w:ascii="宋体" w:hAnsi="宋体" w:eastAsia="宋体" w:cs="宋体"/>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23.1投标人应当按照</w:t>
      </w:r>
      <w:r>
        <w:rPr>
          <w:rFonts w:hint="eastAsia" w:ascii="宋体" w:hAnsi="宋体" w:eastAsia="宋体" w:cs="宋体"/>
          <w:bCs/>
          <w:sz w:val="24"/>
          <w:szCs w:val="24"/>
          <w:highlight w:val="none"/>
          <w:lang w:val="en-US" w:eastAsia="zh-CN"/>
        </w:rPr>
        <w:t xml:space="preserve">苏彩云</w:t>
      </w:r>
      <w:r>
        <w:rPr>
          <w:rFonts w:hint="eastAsia" w:ascii="宋体" w:hAnsi="宋体" w:eastAsia="宋体" w:cs="宋体"/>
          <w:bCs/>
          <w:sz w:val="24"/>
          <w:szCs w:val="24"/>
          <w:highlight w:val="none"/>
        </w:rPr>
        <w:t xml:space="preserve">《操作手册》规定，在招标公告规定的投标截止时间前制作并上传电子投标文件。采购代理机构拒绝接收提交投标文件截止时间后上传的任何电子投标文件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685"/>
        <w:ind w:firstLine="422"/>
        <w:spacing w:before="156"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Cs/>
          <w:sz w:val="24"/>
          <w:szCs w:val="24"/>
          <w:highlight w:val="none"/>
        </w:rPr>
        <w:t xml:space="preserve">23.2</w:t>
      </w:r>
      <w:r>
        <w:rPr>
          <w:rFonts w:hint="eastAsia" w:ascii="宋体" w:hAnsi="宋体" w:eastAsia="宋体" w:cs="宋体"/>
          <w:b/>
          <w:sz w:val="24"/>
          <w:szCs w:val="24"/>
          <w:highlight w:val="none"/>
        </w:rPr>
        <w:t xml:space="preserve">投标文件</w:t>
      </w:r>
      <w:r>
        <w:rPr>
          <w:rFonts w:hint="eastAsia" w:ascii="宋体" w:hAnsi="宋体" w:eastAsia="宋体" w:cs="宋体"/>
          <w:b/>
          <w:bCs/>
          <w:sz w:val="24"/>
          <w:szCs w:val="24"/>
          <w:highlight w:val="none"/>
        </w:rPr>
        <w:t xml:space="preserve">应加盖公章并由投标人法定代表人（单位负责人）或其授权代表签字。授权代表须提供法定代表人以书面形式出具的</w:t>
      </w: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法定代表人授权书”（原件，由法定代表人签章并加盖企业公章。）授权其负责本项目投标。</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23.4如投标过程中投标人使用其他形式的印章（如电子印章、带有“专用章”等字样的印章），须提供“公章授权书”</w:t>
      </w:r>
      <w:r>
        <w:rPr>
          <w:rFonts w:hint="eastAsia" w:ascii="宋体" w:hAnsi="宋体" w:eastAsia="宋体" w:cs="宋体"/>
          <w:sz w:val="24"/>
          <w:highlight w:val="none"/>
        </w:rPr>
        <w:t xml:space="preserve">（见附件）</w:t>
      </w:r>
      <w:r>
        <w:rPr>
          <w:rFonts w:hint="eastAsia" w:ascii="宋体" w:hAnsi="宋体" w:eastAsia="宋体" w:cs="宋体"/>
          <w:bCs/>
          <w:sz w:val="24"/>
          <w:szCs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32" w:name="_Toc9469"/>
      <w:r/>
      <w:bookmarkStart w:id="233" w:name="_Toc5091"/>
      <w:r/>
      <w:bookmarkStart w:id="234" w:name="_Toc5158"/>
      <w:r/>
      <w:bookmarkStart w:id="235" w:name="_Toc13139"/>
      <w:r/>
      <w:bookmarkStart w:id="236" w:name="_Toc107246240"/>
      <w:r>
        <w:rPr>
          <w:rFonts w:hint="eastAsia" w:ascii="宋体" w:hAnsi="宋体" w:eastAsia="宋体" w:cs="宋体"/>
          <w:sz w:val="24"/>
          <w:szCs w:val="24"/>
          <w:highlight w:val="none"/>
        </w:rPr>
        <w:t xml:space="preserve">四．投标文件的递交</w:t>
      </w:r>
      <w:bookmarkEnd w:id="232"/>
      <w:r/>
      <w:bookmarkEnd w:id="233"/>
      <w:r/>
      <w:bookmarkEnd w:id="234"/>
      <w:r/>
      <w:bookmarkEnd w:id="235"/>
      <w:r/>
      <w:bookmarkEnd w:id="236"/>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yellow"/>
        </w:rPr>
      </w:pPr>
      <w:r/>
      <w:bookmarkStart w:id="237" w:name="_Toc25296"/>
      <w:r/>
      <w:bookmarkStart w:id="238" w:name="_Toc30261"/>
      <w:r/>
      <w:bookmarkStart w:id="239" w:name="_Toc31791"/>
      <w:r/>
      <w:bookmarkStart w:id="240" w:name="_Toc107246241"/>
      <w:r/>
      <w:bookmarkStart w:id="241" w:name="_Toc96347881"/>
      <w:r/>
      <w:bookmarkStart w:id="242" w:name="_Toc104560863"/>
      <w:r/>
      <w:bookmarkStart w:id="243" w:name="_Toc103848548"/>
      <w:r/>
      <w:bookmarkStart w:id="244" w:name="_Toc100905226"/>
      <w:r/>
      <w:bookmarkStart w:id="245" w:name="_Toc27842"/>
      <w:r>
        <w:rPr>
          <w:rFonts w:hint="eastAsia" w:ascii="宋体" w:hAnsi="宋体" w:eastAsia="宋体" w:cs="宋体"/>
          <w:sz w:val="24"/>
          <w:szCs w:val="24"/>
          <w:highlight w:val="yellow"/>
        </w:rPr>
        <w:t xml:space="preserve">24.投标文件的</w:t>
      </w:r>
      <w:bookmarkEnd w:id="240"/>
      <w:r/>
      <w:bookmarkEnd w:id="241"/>
      <w:r/>
      <w:bookmarkEnd w:id="242"/>
      <w:r/>
      <w:bookmarkEnd w:id="243"/>
      <w:r/>
      <w:bookmarkEnd w:id="244"/>
      <w:r>
        <w:rPr>
          <w:rFonts w:hint="eastAsia" w:ascii="宋体" w:hAnsi="宋体" w:eastAsia="宋体" w:cs="宋体"/>
          <w:sz w:val="24"/>
          <w:szCs w:val="24"/>
          <w:highlight w:val="yellow"/>
        </w:rPr>
        <w:t xml:space="preserve">递交</w:t>
      </w:r>
      <w:bookmarkEnd w:id="237"/>
      <w:r/>
      <w:bookmarkEnd w:id="238"/>
      <w:r/>
      <w:bookmarkEnd w:id="239"/>
      <w:r/>
      <w:bookmarkEnd w:id="245"/>
      <w:r>
        <w:rPr>
          <w:rFonts w:hint="eastAsia" w:ascii="宋体" w:hAnsi="宋体" w:eastAsia="宋体" w:cs="宋体"/>
          <w:sz w:val="24"/>
          <w:szCs w:val="24"/>
          <w:highlight w:val="yellow"/>
        </w:rPr>
      </w:r>
      <w:r/>
    </w:p>
    <w:p>
      <w:pPr>
        <w:pStyle w:val="685"/>
        <w:ind w:firstLine="420"/>
        <w:spacing w:before="156" w:line="360" w:lineRule="auto"/>
        <w:rPr>
          <w:rFonts w:hint="eastAsia" w:ascii="宋体" w:hAnsi="宋体" w:eastAsia="宋体" w:cs="宋体"/>
          <w:bCs/>
          <w:sz w:val="24"/>
          <w:szCs w:val="24"/>
          <w:highlight w:val="none"/>
        </w:rPr>
      </w:pPr>
      <w:r/>
      <w:bookmarkStart w:id="246" w:name="_Toc46939510"/>
      <w:r/>
      <w:bookmarkStart w:id="247" w:name="_Toc51928343"/>
      <w:r/>
      <w:bookmarkStart w:id="248" w:name="_Toc91399404"/>
      <w:r/>
      <w:bookmarkStart w:id="249" w:name="_Toc40202948"/>
      <w:r/>
      <w:bookmarkStart w:id="250" w:name="_Toc96347882"/>
      <w:r/>
      <w:bookmarkStart w:id="251" w:name="_Toc19963"/>
      <w:r/>
      <w:bookmarkStart w:id="252" w:name="_Toc5042"/>
      <w:r/>
      <w:bookmarkStart w:id="253" w:name="_Toc38933357"/>
      <w:r/>
      <w:bookmarkStart w:id="254" w:name="_Toc50528805"/>
      <w:r/>
      <w:bookmarkStart w:id="255" w:name="_Toc100905227"/>
      <w:r/>
      <w:bookmarkStart w:id="256" w:name="_Toc11464"/>
      <w:r/>
      <w:bookmarkStart w:id="257" w:name="_Toc46960670"/>
      <w:r/>
      <w:bookmarkStart w:id="258" w:name="_Toc89586904"/>
      <w:r/>
      <w:bookmarkStart w:id="259" w:name="_Toc38931800"/>
      <w:r/>
      <w:bookmarkStart w:id="260" w:name="_Toc46219699"/>
      <w:r/>
      <w:bookmarkStart w:id="261" w:name="_Toc11952"/>
      <w:r/>
      <w:bookmarkStart w:id="262" w:name="_Toc469850063"/>
      <w:r/>
      <w:bookmarkStart w:id="263" w:name="_Toc38931614"/>
      <w:r/>
      <w:bookmarkStart w:id="264" w:name="_Toc4536"/>
      <w:r/>
      <w:bookmarkStart w:id="265" w:name="_Toc97561941"/>
      <w:r/>
      <w:bookmarkStart w:id="266" w:name="_Toc48151397"/>
      <w:r/>
      <w:bookmarkStart w:id="267" w:name="_Toc103848549"/>
      <w:r>
        <w:rPr>
          <w:rFonts w:hint="eastAsia" w:ascii="宋体" w:hAnsi="宋体" w:eastAsia="宋体" w:cs="宋体"/>
          <w:bCs/>
          <w:sz w:val="24"/>
          <w:szCs w:val="24"/>
          <w:highlight w:val="none"/>
        </w:rPr>
        <w:t xml:space="preserve">投标人应当按照《操作手册》规定，在招标公告规定的投标截止时间前制作并上传电子投标文件。</w:t>
      </w:r>
      <w:r>
        <w:rPr>
          <w:rFonts w:hint="eastAsia" w:ascii="宋体" w:hAnsi="宋体" w:eastAsia="宋体" w:cs="宋体"/>
          <w:bCs/>
          <w:sz w:val="24"/>
          <w:szCs w:val="24"/>
          <w:highlight w:val="none"/>
          <w:lang w:eastAsia="zh-CN"/>
        </w:rPr>
        <w:t xml:space="preserve">采购代理机构</w:t>
      </w:r>
      <w:r>
        <w:rPr>
          <w:rFonts w:hint="eastAsia" w:ascii="宋体" w:hAnsi="宋体" w:eastAsia="宋体" w:cs="宋体"/>
          <w:bCs/>
          <w:sz w:val="24"/>
          <w:szCs w:val="24"/>
          <w:highlight w:val="none"/>
        </w:rPr>
        <w:t xml:space="preserve">拒绝接收提交投标文件截止时间后上传的任何电子投标文件。</w:t>
      </w:r>
      <w:bookmarkStart w:id="268" w:name="_Toc104560864"/>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yellow"/>
        </w:rPr>
      </w:pPr>
      <w:r/>
      <w:bookmarkStart w:id="269" w:name="_Toc13949"/>
      <w:r/>
      <w:bookmarkStart w:id="270" w:name="_Toc2870"/>
      <w:r/>
      <w:bookmarkStart w:id="271" w:name="_Toc19464"/>
      <w:r/>
      <w:bookmarkStart w:id="272" w:name="_Toc20764"/>
      <w:r/>
      <w:bookmarkStart w:id="273" w:name="_Toc107246242"/>
      <w:r>
        <w:rPr>
          <w:rFonts w:hint="eastAsia" w:ascii="宋体" w:hAnsi="宋体" w:eastAsia="宋体" w:cs="宋体"/>
          <w:sz w:val="24"/>
          <w:szCs w:val="24"/>
          <w:highlight w:val="yellow"/>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eastAsia="宋体" w:cs="宋体"/>
          <w:sz w:val="24"/>
          <w:szCs w:val="24"/>
          <w:highlight w:val="yellow"/>
        </w:rPr>
        <w:t xml:space="preserve">投标文件的解密</w:t>
      </w:r>
      <w:bookmarkEnd w:id="269"/>
      <w:r/>
      <w:bookmarkEnd w:id="270"/>
      <w:r/>
      <w:bookmarkEnd w:id="271"/>
      <w:r/>
      <w:bookmarkEnd w:id="272"/>
      <w:r/>
      <w:bookmarkEnd w:id="273"/>
      <w:r>
        <w:rPr>
          <w:rFonts w:hint="eastAsia" w:ascii="宋体" w:hAnsi="宋体" w:eastAsia="宋体" w:cs="宋体"/>
          <w:sz w:val="24"/>
          <w:szCs w:val="24"/>
          <w:highlight w:val="yellow"/>
        </w:rPr>
      </w:r>
      <w:r/>
    </w:p>
    <w:p>
      <w:pPr>
        <w:pStyle w:val="685"/>
        <w:ind w:firstLine="420"/>
        <w:spacing w:before="156" w:line="360" w:lineRule="auto"/>
        <w:rPr>
          <w:rFonts w:hint="eastAsia" w:ascii="宋体" w:hAnsi="宋体" w:eastAsia="宋体" w:cs="宋体"/>
          <w:bCs/>
          <w:sz w:val="24"/>
          <w:szCs w:val="24"/>
          <w:highlight w:val="none"/>
        </w:rPr>
      </w:pPr>
      <w:r/>
      <w:bookmarkStart w:id="274" w:name="_Toc96347883"/>
      <w:r>
        <w:rPr>
          <w:rFonts w:hint="eastAsia" w:ascii="宋体" w:hAnsi="宋体" w:eastAsia="宋体" w:cs="宋体"/>
          <w:bCs/>
          <w:sz w:val="24"/>
          <w:szCs w:val="24"/>
          <w:highlight w:val="none"/>
        </w:rPr>
        <w:t xml:space="preserve">25.1投标人应当按照《操作手册》规定，在“苏采云”系统规定的时间内对投标文件进行解密。</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25.2投标人应充分考虑网络环境、网络带宽等因素可能对投标产生的影响，如因投标人自身原因造成的电子投标文件解密不成功的，做无效投标处理。</w:t>
      </w:r>
      <w:r>
        <w:rPr>
          <w:rFonts w:hint="eastAsia" w:ascii="宋体" w:hAnsi="宋体" w:eastAsia="宋体" w:cs="宋体"/>
          <w:b/>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75" w:name="_Toc8773"/>
      <w:r/>
      <w:bookmarkStart w:id="276" w:name="_Toc100905228"/>
      <w:r/>
      <w:bookmarkStart w:id="277" w:name="_Toc6798"/>
      <w:r/>
      <w:bookmarkStart w:id="278" w:name="_Toc18289"/>
      <w:r/>
      <w:bookmarkStart w:id="279" w:name="_Toc104560865"/>
      <w:r/>
      <w:bookmarkStart w:id="280" w:name="_Toc107246243"/>
      <w:r/>
      <w:bookmarkStart w:id="281" w:name="_Toc16657"/>
      <w:r/>
      <w:bookmarkStart w:id="282" w:name="_Toc103848550"/>
      <w:r>
        <w:rPr>
          <w:rFonts w:hint="eastAsia" w:ascii="宋体" w:hAnsi="宋体" w:eastAsia="宋体" w:cs="宋体"/>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26.1投标人在递交投标文件后，可以修改或撤回其投标文件，但这种修改和撤回，必须在规定的投标截止时间前，以书面形式通知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26.2</w:t>
      </w:r>
      <w:r>
        <w:rPr>
          <w:rFonts w:hint="eastAsia" w:ascii="宋体" w:hAnsi="宋体" w:eastAsia="宋体" w:cs="宋体"/>
          <w:sz w:val="24"/>
          <w:szCs w:val="24"/>
          <w:highlight w:val="none"/>
        </w:rPr>
        <w:t xml:space="preserve">投标人对投标文件的补充、修改的内容应当按照采购文件要求签署、盖章后，作为投标文件的组成部分。</w:t>
      </w:r>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 在投标截止时间之后，投标人不得对其投标文件作任何修改。</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26.4 在投标截止时间至采购文件中规定的投标有效期满之间的这段时间内，投标人不得撤回其投标。</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83" w:name="_Toc107246244"/>
      <w:r/>
      <w:bookmarkStart w:id="284" w:name="_Toc19138"/>
      <w:r/>
      <w:bookmarkStart w:id="285" w:name="_Toc104560866"/>
      <w:r/>
      <w:bookmarkStart w:id="286" w:name="_Toc32491"/>
      <w:r/>
      <w:bookmarkStart w:id="287" w:name="_Toc138"/>
      <w:r/>
      <w:bookmarkStart w:id="288" w:name="_Toc26994"/>
      <w:r/>
      <w:bookmarkStart w:id="289" w:name="_Toc103848551"/>
      <w:r>
        <w:rPr>
          <w:rFonts w:hint="eastAsia" w:ascii="宋体" w:hAnsi="宋体" w:eastAsia="宋体" w:cs="宋体"/>
          <w:sz w:val="24"/>
          <w:szCs w:val="24"/>
          <w:highlight w:val="none"/>
        </w:rPr>
        <w:t xml:space="preserve">27.诚实信用</w:t>
      </w:r>
      <w:bookmarkEnd w:id="283"/>
      <w:r/>
      <w:bookmarkEnd w:id="284"/>
      <w:r/>
      <w:bookmarkEnd w:id="285"/>
      <w:r/>
      <w:bookmarkEnd w:id="286"/>
      <w:r/>
      <w:bookmarkEnd w:id="287"/>
      <w:r/>
      <w:bookmarkEnd w:id="288"/>
      <w:r/>
      <w:bookmarkEnd w:id="289"/>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27.1投标人应当遵循公平竞争的原则，不得恶意串通，不得妨碍其他投标人的竞争行为，不得损害采购人或者其他投标人的合法权益。</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27.2在评标过程中发现投标人有上述情形的，评标委员会应当认定其投标无效，并书面报告本级财政部门。</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90" w:name="_Toc20073"/>
      <w:r/>
      <w:bookmarkStart w:id="291" w:name="_Toc21823"/>
      <w:r/>
      <w:bookmarkStart w:id="292" w:name="_Toc31101"/>
      <w:r/>
      <w:bookmarkStart w:id="293" w:name="_Toc23134"/>
      <w:r/>
      <w:bookmarkStart w:id="294" w:name="_Toc107246245"/>
      <w:r>
        <w:rPr>
          <w:rFonts w:hint="eastAsia" w:ascii="宋体" w:hAnsi="宋体" w:eastAsia="宋体" w:cs="宋体"/>
          <w:sz w:val="24"/>
          <w:szCs w:val="24"/>
          <w:highlight w:val="none"/>
        </w:rPr>
        <w:t xml:space="preserve">五．开标和评标</w:t>
      </w:r>
      <w:bookmarkEnd w:id="290"/>
      <w:r/>
      <w:bookmarkEnd w:id="291"/>
      <w:r/>
      <w:bookmarkEnd w:id="292"/>
      <w:r/>
      <w:bookmarkEnd w:id="293"/>
      <w:r/>
      <w:bookmarkEnd w:id="294"/>
      <w:r/>
      <w:bookmarkStart w:id="295" w:name="_Toc96347885"/>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296" w:name="_Toc25855"/>
      <w:r/>
      <w:bookmarkStart w:id="297" w:name="_Toc100905230"/>
      <w:r/>
      <w:bookmarkStart w:id="298" w:name="_Toc19353"/>
      <w:r/>
      <w:bookmarkStart w:id="299" w:name="_Toc107246246"/>
      <w:r/>
      <w:bookmarkStart w:id="300" w:name="_Toc4351"/>
      <w:r/>
      <w:bookmarkStart w:id="301" w:name="_Toc104560868"/>
      <w:r/>
      <w:bookmarkStart w:id="302" w:name="_Toc24873"/>
      <w:r/>
      <w:bookmarkStart w:id="303" w:name="_Toc103848553"/>
      <w:r>
        <w:rPr>
          <w:rFonts w:hint="eastAsia" w:ascii="宋体" w:hAnsi="宋体" w:eastAsia="宋体" w:cs="宋体"/>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bookmarkStart w:id="304" w:name="_Toc96347886"/>
      <w:r>
        <w:rPr>
          <w:rFonts w:hint="eastAsia" w:ascii="宋体" w:hAnsi="宋体" w:eastAsia="宋体" w:cs="宋体"/>
          <w:bCs/>
          <w:sz w:val="24"/>
          <w:szCs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投标人在开标过程中涉及到的投标文件解密、开标结果确认等工作，应按照《操作手册》规定执行。</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28.3投标人不足3家的，不得开标。</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（1）招标文件存在不合理条款或者招标程序不符合规定的，采购人、采购代理机构改正后依法重新招标；</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（2）招标文件没有不合理条款、招标程序符合规定，需要采用其他</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式采购的，采购人依法报财政部门批准，经批准后，可变更为其他</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式采购。</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28.6投标人未参加开标的，视同认可开标结果。</w:t>
      </w:r>
      <w:bookmarkEnd w:id="304"/>
      <w:r/>
      <w:bookmarkStart w:id="305" w:name="_Toc100905231"/>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06" w:name="_Toc26201"/>
      <w:r/>
      <w:bookmarkStart w:id="307" w:name="_Toc12748"/>
      <w:r/>
      <w:bookmarkStart w:id="308" w:name="_Toc29051"/>
      <w:r/>
      <w:bookmarkStart w:id="309" w:name="_Toc18745"/>
      <w:r/>
      <w:bookmarkStart w:id="310" w:name="_Toc107246247"/>
      <w:r>
        <w:rPr>
          <w:rFonts w:hint="eastAsia" w:ascii="宋体" w:hAnsi="宋体" w:eastAsia="宋体" w:cs="宋体"/>
          <w:sz w:val="24"/>
          <w:szCs w:val="24"/>
          <w:highlight w:val="none"/>
        </w:rPr>
        <w:t xml:space="preserve">29.资格性审查</w:t>
      </w:r>
      <w:bookmarkEnd w:id="306"/>
      <w:r/>
      <w:bookmarkEnd w:id="307"/>
      <w:r/>
      <w:bookmarkEnd w:id="308"/>
      <w:r/>
      <w:bookmarkEnd w:id="309"/>
      <w:r/>
      <w:bookmarkEnd w:id="310"/>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bookmarkStart w:id="311" w:name="_Toc103848554"/>
      <w:r/>
      <w:bookmarkStart w:id="312" w:name="_Toc104560869"/>
      <w:r>
        <w:rPr>
          <w:rFonts w:hint="eastAsia" w:ascii="宋体" w:hAnsi="宋体" w:eastAsia="宋体" w:cs="宋体"/>
          <w:bCs/>
          <w:sz w:val="24"/>
          <w:szCs w:val="24"/>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29.2投标人不具备招标文件规定的投标人资格条件的，应在资格审查时按照无效投标处理。</w:t>
      </w:r>
      <w:r>
        <w:rPr>
          <w:rFonts w:hint="eastAsia" w:ascii="宋体" w:hAnsi="宋体" w:eastAsia="宋体" w:cs="宋体"/>
          <w:bCs/>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29.3已经进行资格预审的，可以不再对投标人资格进行审查，资格预审合格的投标人在评标阶段资格发生变化的，应当通知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13" w:name="_Toc107246248"/>
      <w:r/>
      <w:bookmarkStart w:id="314" w:name="_Toc28510"/>
      <w:r/>
      <w:bookmarkStart w:id="315" w:name="_Toc32002"/>
      <w:r/>
      <w:bookmarkStart w:id="316" w:name="_Toc31304"/>
      <w:r/>
      <w:bookmarkStart w:id="317" w:name="_Toc960"/>
      <w:r>
        <w:rPr>
          <w:rFonts w:hint="eastAsia" w:ascii="宋体" w:hAnsi="宋体" w:eastAsia="宋体" w:cs="宋体"/>
          <w:sz w:val="24"/>
          <w:szCs w:val="24"/>
          <w:highlight w:val="none"/>
        </w:rPr>
        <w:t xml:space="preserve">30.评标</w:t>
      </w:r>
      <w:bookmarkEnd w:id="311"/>
      <w:r/>
      <w:bookmarkEnd w:id="312"/>
      <w:r/>
      <w:bookmarkEnd w:id="313"/>
      <w:r/>
      <w:bookmarkEnd w:id="314"/>
      <w:r/>
      <w:bookmarkEnd w:id="315"/>
      <w:r/>
      <w:bookmarkEnd w:id="316"/>
      <w:r/>
      <w:bookmarkEnd w:id="317"/>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18" w:name="_Toc104560870"/>
      <w:r/>
      <w:bookmarkStart w:id="319" w:name="_Toc16988"/>
      <w:r/>
      <w:bookmarkStart w:id="320" w:name="_Toc107246249"/>
      <w:r/>
      <w:bookmarkStart w:id="321" w:name="_Toc17272"/>
      <w:r/>
      <w:bookmarkStart w:id="322" w:name="_Toc8814"/>
      <w:r/>
      <w:bookmarkStart w:id="323" w:name="_Toc103848555"/>
      <w:r/>
      <w:bookmarkStart w:id="324" w:name="_Toc19512"/>
      <w:r>
        <w:rPr>
          <w:rFonts w:hint="eastAsia" w:ascii="宋体" w:hAnsi="宋体" w:eastAsia="宋体" w:cs="宋体"/>
          <w:sz w:val="24"/>
          <w:szCs w:val="24"/>
          <w:highlight w:val="none"/>
        </w:rPr>
        <w:t xml:space="preserve">30.1评标委员会</w:t>
      </w:r>
      <w:bookmarkEnd w:id="318"/>
      <w:r/>
      <w:bookmarkEnd w:id="319"/>
      <w:r/>
      <w:bookmarkEnd w:id="320"/>
      <w:r/>
      <w:bookmarkEnd w:id="321"/>
      <w:r/>
      <w:bookmarkEnd w:id="322"/>
      <w:r/>
      <w:bookmarkEnd w:id="323"/>
      <w:r/>
      <w:bookmarkEnd w:id="324"/>
      <w:r>
        <w:rPr>
          <w:rFonts w:hint="eastAsia" w:ascii="宋体" w:hAnsi="宋体" w:eastAsia="宋体" w:cs="宋体"/>
          <w:sz w:val="24"/>
          <w:szCs w:val="24"/>
          <w:highlight w:val="none"/>
        </w:rPr>
      </w:r>
      <w:r/>
    </w:p>
    <w:p>
      <w:pPr>
        <w:pStyle w:val="685"/>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30.1.1评标委员会成员负责具体评标事务，并独立履行职责。</w:t>
      </w:r>
      <w:r>
        <w:rPr>
          <w:rFonts w:hint="eastAsia" w:ascii="宋体" w:hAnsi="宋体" w:eastAsia="宋体" w:cs="宋体"/>
          <w:bCs/>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25" w:name="_Toc107246250"/>
      <w:r/>
      <w:bookmarkStart w:id="326" w:name="_Toc20916"/>
      <w:r/>
      <w:bookmarkStart w:id="327" w:name="_Toc22047"/>
      <w:r/>
      <w:bookmarkStart w:id="328" w:name="_Toc2386"/>
      <w:r/>
      <w:bookmarkStart w:id="329" w:name="_Toc104560871"/>
      <w:r/>
      <w:bookmarkStart w:id="330" w:name="_Toc103848556"/>
      <w:r/>
      <w:bookmarkStart w:id="331" w:name="_Toc23065"/>
      <w:r>
        <w:rPr>
          <w:rFonts w:hint="eastAsia" w:ascii="宋体" w:hAnsi="宋体" w:eastAsia="宋体" w:cs="宋体"/>
          <w:sz w:val="24"/>
          <w:szCs w:val="24"/>
          <w:highlight w:val="none"/>
        </w:rPr>
        <w:t xml:space="preserve">30.2</w:t>
      </w:r>
      <w:bookmarkEnd w:id="329"/>
      <w:r/>
      <w:bookmarkEnd w:id="330"/>
      <w:r>
        <w:rPr>
          <w:rFonts w:hint="eastAsia" w:ascii="宋体" w:hAnsi="宋体" w:eastAsia="宋体" w:cs="宋体"/>
          <w:sz w:val="24"/>
          <w:szCs w:val="24"/>
          <w:highlight w:val="none"/>
        </w:rPr>
        <w:t xml:space="preserve">符合性审查</w:t>
      </w:r>
      <w:bookmarkEnd w:id="325"/>
      <w:r/>
      <w:bookmarkEnd w:id="326"/>
      <w:r/>
      <w:bookmarkEnd w:id="327"/>
      <w:r/>
      <w:bookmarkEnd w:id="328"/>
      <w:r/>
      <w:bookmarkEnd w:id="331"/>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30.2.3投标文件有下列情况之一的，在符合性检查时按照无效投标处理：</w:t>
      </w:r>
      <w:r>
        <w:rPr>
          <w:rFonts w:hint="eastAsia" w:ascii="宋体" w:hAnsi="宋体" w:eastAsia="宋体" w:cs="宋体"/>
          <w:b/>
          <w:bCs/>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（1）投标人在“苏采云”系统规定的时间内未成功解密电子投标文件的；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（2）投标人未按照招标文件要求上传电子投标文件的；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（4）未按照招标文件规定要求签署、盖章的；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（5）报价超过招标文件中规定的预算金额或者最高限价的；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（6）投标文件中承诺的投标有效期不满足招标文件中载明的投标有效期的；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（7）未按照招标文件规定提交投标保证金的；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（8）投标文件含有采购人不能接受的附加条件的；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（9）投标文件不符合招标文件中规定的其它实质性要求的；</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（10）现行法律、法规、规章和招标文件规定的其他无效情形。</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305"/>
      <w:r/>
      <w:bookmarkStart w:id="332" w:name="_Toc103848557"/>
      <w:r/>
      <w:bookmarkStart w:id="333" w:name="_Toc19533"/>
      <w:r/>
      <w:bookmarkStart w:id="334" w:name="_Toc107246251"/>
      <w:r/>
      <w:bookmarkStart w:id="335" w:name="_Toc18531"/>
      <w:r/>
      <w:bookmarkStart w:id="336" w:name="_Toc409"/>
      <w:r/>
      <w:bookmarkStart w:id="337" w:name="_Toc7156"/>
      <w:r/>
      <w:bookmarkStart w:id="338" w:name="_Toc104560872"/>
      <w:r>
        <w:rPr>
          <w:rFonts w:hint="eastAsia" w:ascii="宋体" w:hAnsi="宋体" w:eastAsia="宋体" w:cs="宋体"/>
          <w:sz w:val="24"/>
          <w:szCs w:val="24"/>
          <w:highlight w:val="none"/>
        </w:rPr>
        <w:t xml:space="preserve">30.3投标文件澄清</w:t>
      </w:r>
      <w:bookmarkEnd w:id="332"/>
      <w:r/>
      <w:bookmarkEnd w:id="333"/>
      <w:r/>
      <w:bookmarkEnd w:id="334"/>
      <w:r/>
      <w:bookmarkEnd w:id="335"/>
      <w:r/>
      <w:bookmarkEnd w:id="336"/>
      <w:r/>
      <w:bookmarkEnd w:id="337"/>
      <w:r/>
      <w:bookmarkEnd w:id="338"/>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30.3.3评标委员会不接受投标人主动提出的澄清、说明。</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30.3.4有效的书面澄清材料，是投标文件的补充材料，成为投标文件的组成部分。</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39" w:name="_Toc107246252"/>
      <w:r/>
      <w:bookmarkStart w:id="340" w:name="_Toc15005"/>
      <w:r/>
      <w:bookmarkStart w:id="341" w:name="_Toc14281"/>
      <w:r/>
      <w:bookmarkStart w:id="342" w:name="_Toc32039"/>
      <w:r/>
      <w:bookmarkStart w:id="343" w:name="_Toc27935"/>
      <w:r>
        <w:rPr>
          <w:rFonts w:hint="eastAsia" w:ascii="宋体" w:hAnsi="宋体" w:eastAsia="宋体" w:cs="宋体"/>
          <w:sz w:val="24"/>
          <w:szCs w:val="24"/>
          <w:highlight w:val="none"/>
        </w:rPr>
        <w:t xml:space="preserve">30.4</w:t>
      </w:r>
      <w:bookmarkEnd w:id="339"/>
      <w:r>
        <w:rPr>
          <w:rFonts w:hint="eastAsia" w:ascii="宋体" w:hAnsi="宋体" w:eastAsia="宋体" w:cs="宋体"/>
          <w:sz w:val="24"/>
          <w:szCs w:val="24"/>
          <w:highlight w:val="none"/>
        </w:rPr>
        <w:t xml:space="preserve">报价修正</w:t>
      </w:r>
      <w:bookmarkEnd w:id="340"/>
      <w:r/>
      <w:bookmarkEnd w:id="341"/>
      <w:r/>
      <w:bookmarkEnd w:id="342"/>
      <w:r/>
      <w:bookmarkEnd w:id="343"/>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30.4.1投标文件报价出现前后不一致的，除招标文件另有规定外，按照下列规定修正：</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44" w:name="_Toc107246253"/>
      <w:r/>
      <w:bookmarkStart w:id="345" w:name="_Toc10306"/>
      <w:r/>
      <w:bookmarkStart w:id="346" w:name="_Toc103848558"/>
      <w:r/>
      <w:bookmarkStart w:id="347" w:name="_Toc28662"/>
      <w:r/>
      <w:bookmarkStart w:id="348" w:name="_Toc104560873"/>
      <w:r/>
      <w:bookmarkStart w:id="349" w:name="_Toc16280"/>
      <w:r/>
      <w:bookmarkStart w:id="350" w:name="_Toc911"/>
      <w:r>
        <w:rPr>
          <w:rFonts w:hint="eastAsia" w:ascii="宋体" w:hAnsi="宋体" w:eastAsia="宋体" w:cs="宋体"/>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30.5.3非单一产品采购项目，根据采购项目技术构成、产品价格比重等合理确定核心产品。多家投标人提供的核心产品品牌相同的，按前两款规定处理。</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51" w:name="_Toc30717"/>
      <w:r/>
      <w:bookmarkStart w:id="352" w:name="_Toc103848559"/>
      <w:r/>
      <w:bookmarkStart w:id="353" w:name="_Toc7403"/>
      <w:r/>
      <w:bookmarkStart w:id="354" w:name="_Toc5246"/>
      <w:r/>
      <w:bookmarkStart w:id="355" w:name="_Toc104560874"/>
      <w:r/>
      <w:bookmarkStart w:id="356" w:name="_Toc107246254"/>
      <w:r/>
      <w:bookmarkStart w:id="357" w:name="_Toc10010"/>
      <w:r>
        <w:rPr>
          <w:rFonts w:hint="eastAsia" w:ascii="宋体" w:hAnsi="宋体" w:eastAsia="宋体" w:cs="宋体"/>
          <w:sz w:val="24"/>
          <w:szCs w:val="24"/>
          <w:highlight w:val="none"/>
        </w:rPr>
        <w:t xml:space="preserve">30.6比较与评价</w:t>
      </w:r>
      <w:bookmarkEnd w:id="351"/>
      <w:r/>
      <w:bookmarkEnd w:id="352"/>
      <w:r/>
      <w:bookmarkEnd w:id="353"/>
      <w:r/>
      <w:bookmarkEnd w:id="354"/>
      <w:r/>
      <w:bookmarkEnd w:id="355"/>
      <w:r/>
      <w:bookmarkEnd w:id="356"/>
      <w:r/>
      <w:bookmarkEnd w:id="357"/>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30.6.1评标委员会应当按照招标文件中第五章《评标方法和评标标准》，对符合性审查合格的投标文件进行比较与评价。</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58" w:name="_Toc9528"/>
      <w:r/>
      <w:bookmarkStart w:id="359" w:name="_Toc19495"/>
      <w:r/>
      <w:bookmarkStart w:id="360" w:name="_Toc17871"/>
      <w:r/>
      <w:bookmarkStart w:id="361" w:name="_Toc107246255"/>
      <w:r/>
      <w:bookmarkStart w:id="362" w:name="_Toc9344"/>
      <w:r>
        <w:rPr>
          <w:rFonts w:hint="eastAsia" w:ascii="宋体" w:hAnsi="宋体" w:eastAsia="宋体" w:cs="宋体"/>
          <w:sz w:val="24"/>
          <w:szCs w:val="24"/>
          <w:highlight w:val="none"/>
        </w:rPr>
        <w:t xml:space="preserve">30.7编写评标报告</w:t>
      </w:r>
      <w:bookmarkEnd w:id="358"/>
      <w:r/>
      <w:bookmarkEnd w:id="359"/>
      <w:r/>
      <w:bookmarkEnd w:id="360"/>
      <w:r/>
      <w:bookmarkEnd w:id="361"/>
      <w:r/>
      <w:bookmarkEnd w:id="362"/>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30.7.1评标委员会根据全体评标成员签字的原始评标记录和评标结果编写评标报告。</w:t>
      </w:r>
      <w:r>
        <w:rPr>
          <w:rFonts w:hint="eastAsia" w:ascii="宋体" w:hAnsi="宋体" w:eastAsia="宋体" w:cs="宋体"/>
          <w:sz w:val="24"/>
          <w:szCs w:val="24"/>
          <w:highlight w:val="none"/>
        </w:rPr>
      </w:r>
      <w:r/>
    </w:p>
    <w:p>
      <w:pPr>
        <w:pStyle w:val="861"/>
        <w:ind w:left="0" w:right="210"/>
        <w:spacing w:line="360" w:lineRule="auto"/>
        <w:tabs>
          <w:tab w:val="left" w:pos="5882" w:leader="none"/>
        </w:tabs>
        <w:rPr>
          <w:rFonts w:hint="eastAsia" w:ascii="宋体" w:hAnsi="宋体" w:eastAsia="宋体" w:cs="宋体"/>
          <w:sz w:val="24"/>
          <w:szCs w:val="24"/>
          <w:highlight w:val="none"/>
        </w:rPr>
      </w:pPr>
      <w:r/>
      <w:bookmarkStart w:id="363" w:name="_Toc16915"/>
      <w:r/>
      <w:bookmarkStart w:id="364" w:name="_Toc103848561"/>
      <w:r/>
      <w:bookmarkStart w:id="365" w:name="_Toc104560876"/>
      <w:r/>
      <w:bookmarkStart w:id="366" w:name="_Toc107246256"/>
      <w:r/>
      <w:bookmarkStart w:id="367" w:name="_Toc21441"/>
      <w:r/>
      <w:bookmarkStart w:id="368" w:name="_Toc14498"/>
      <w:r/>
      <w:bookmarkStart w:id="369" w:name="_Toc28985"/>
      <w:r>
        <w:rPr>
          <w:rFonts w:hint="eastAsia" w:ascii="宋体" w:hAnsi="宋体" w:eastAsia="宋体" w:cs="宋体"/>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30.8.1评标委员会成员名单在评标结果公示前应当保密。</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应当采取必要的措施，保证评标在严格保密的情况下进行。</w:t>
      </w:r>
      <w:r>
        <w:rPr>
          <w:rFonts w:hint="eastAsia" w:ascii="宋体" w:hAnsi="宋体" w:eastAsia="宋体" w:cs="宋体"/>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30.8.3有关人员对评标情况以及在评标过程中获悉的国家秘密、商业秘密负有保密责任。</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70" w:name="_Toc27985"/>
      <w:r/>
      <w:bookmarkStart w:id="371" w:name="_Toc107246257"/>
      <w:r/>
      <w:bookmarkStart w:id="372" w:name="_Toc28267"/>
      <w:r/>
      <w:bookmarkStart w:id="373" w:name="_Toc15231"/>
      <w:r/>
      <w:bookmarkStart w:id="374" w:name="_Toc7173"/>
      <w:r>
        <w:rPr>
          <w:rFonts w:hint="eastAsia" w:ascii="宋体" w:hAnsi="宋体" w:eastAsia="宋体" w:cs="宋体"/>
          <w:sz w:val="24"/>
          <w:szCs w:val="24"/>
          <w:highlight w:val="none"/>
        </w:rPr>
        <w:t xml:space="preserve">六．确定中标</w:t>
      </w:r>
      <w:bookmarkEnd w:id="370"/>
      <w:r/>
      <w:bookmarkEnd w:id="371"/>
      <w:r/>
      <w:bookmarkEnd w:id="372"/>
      <w:r/>
      <w:bookmarkEnd w:id="373"/>
      <w:r/>
      <w:bookmarkEnd w:id="374"/>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75" w:name="_Toc1065"/>
      <w:r/>
      <w:bookmarkStart w:id="376" w:name="_Toc103848563"/>
      <w:r/>
      <w:bookmarkStart w:id="377" w:name="_Toc104560878"/>
      <w:r/>
      <w:bookmarkStart w:id="378" w:name="_Toc107246258"/>
      <w:r/>
      <w:bookmarkStart w:id="379" w:name="_Toc15590"/>
      <w:r/>
      <w:bookmarkStart w:id="380" w:name="_Toc4697"/>
      <w:r/>
      <w:bookmarkStart w:id="381" w:name="_Toc5549"/>
      <w:r>
        <w:rPr>
          <w:rFonts w:hint="eastAsia" w:ascii="宋体" w:hAnsi="宋体" w:eastAsia="宋体" w:cs="宋体"/>
          <w:sz w:val="24"/>
          <w:szCs w:val="24"/>
          <w:highlight w:val="none"/>
        </w:rPr>
        <w:t xml:space="preserve">31.确定中标</w:t>
      </w:r>
      <w:bookmarkEnd w:id="376"/>
      <w:r/>
      <w:bookmarkEnd w:id="377"/>
      <w:r>
        <w:rPr>
          <w:rFonts w:hint="eastAsia" w:ascii="宋体" w:hAnsi="宋体" w:eastAsia="宋体" w:cs="宋体"/>
          <w:sz w:val="24"/>
          <w:szCs w:val="24"/>
          <w:highlight w:val="none"/>
        </w:rPr>
        <w:t xml:space="preserve">人</w:t>
      </w:r>
      <w:bookmarkEnd w:id="375"/>
      <w:r/>
      <w:bookmarkEnd w:id="378"/>
      <w:r/>
      <w:bookmarkEnd w:id="379"/>
      <w:r/>
      <w:bookmarkEnd w:id="380"/>
      <w:r/>
      <w:bookmarkEnd w:id="381"/>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评审结束后，中标人名单将省级以上财政部门指定的媒体上公告中标结果，中标公告期为1个工作日</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82" w:name="_Toc104560879"/>
      <w:r/>
      <w:bookmarkStart w:id="383" w:name="_Toc107246259"/>
      <w:r/>
      <w:bookmarkStart w:id="384" w:name="_Toc103848564"/>
      <w:r/>
      <w:bookmarkStart w:id="385" w:name="_Toc27602"/>
      <w:r/>
      <w:bookmarkStart w:id="386" w:name="_Toc680"/>
      <w:r/>
      <w:bookmarkStart w:id="387" w:name="_Toc4935"/>
      <w:r/>
      <w:bookmarkStart w:id="388" w:name="_Toc18046"/>
      <w:r>
        <w:rPr>
          <w:rFonts w:hint="eastAsia" w:ascii="宋体" w:hAnsi="宋体" w:eastAsia="宋体" w:cs="宋体"/>
          <w:sz w:val="24"/>
          <w:szCs w:val="24"/>
          <w:highlight w:val="none"/>
        </w:rPr>
        <w:t xml:space="preserve">32.中标通知书</w:t>
      </w:r>
      <w:bookmarkEnd w:id="382"/>
      <w:r/>
      <w:bookmarkEnd w:id="383"/>
      <w:r/>
      <w:bookmarkEnd w:id="384"/>
      <w:r/>
      <w:bookmarkEnd w:id="385"/>
      <w:r/>
      <w:bookmarkEnd w:id="386"/>
      <w:r/>
      <w:bookmarkEnd w:id="387"/>
      <w:r/>
      <w:bookmarkEnd w:id="388"/>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32.1采购代理机构将在中标公告发布的同时向中标人发出中标通知书。</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32.2中标通知书将是合同的组成部分。对采购人和中标人均具有法律效力。</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w:t>
      </w:r>
      <w:bookmarkStart w:id="389" w:name="_Toc103848560"/>
      <w:r/>
      <w:bookmarkStart w:id="390" w:name="_Toc104560875"/>
      <w:r>
        <w:rPr>
          <w:rFonts w:hint="eastAsia" w:ascii="宋体" w:hAnsi="宋体" w:eastAsia="宋体" w:cs="宋体"/>
          <w:sz w:val="24"/>
          <w:szCs w:val="24"/>
          <w:highlight w:val="none"/>
        </w:rPr>
        <w:t xml:space="preserve">中标通知书发出后，中标人无正当理由不得放弃中标，否则将依法承担法律责任。</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91" w:name="_Toc23182"/>
      <w:r/>
      <w:bookmarkStart w:id="392" w:name="_Toc107246260"/>
      <w:r/>
      <w:bookmarkStart w:id="393" w:name="_Toc21503"/>
      <w:r/>
      <w:bookmarkStart w:id="394" w:name="_Toc19524"/>
      <w:r/>
      <w:bookmarkStart w:id="395" w:name="_Toc5939"/>
      <w:r>
        <w:rPr>
          <w:rFonts w:hint="eastAsia" w:ascii="宋体" w:hAnsi="宋体" w:eastAsia="宋体" w:cs="宋体"/>
          <w:sz w:val="24"/>
          <w:szCs w:val="24"/>
          <w:highlight w:val="none"/>
        </w:rPr>
        <w:t xml:space="preserve">33.废标</w:t>
      </w:r>
      <w:bookmarkEnd w:id="389"/>
      <w:r/>
      <w:bookmarkEnd w:id="390"/>
      <w:r/>
      <w:bookmarkEnd w:id="391"/>
      <w:r/>
      <w:bookmarkEnd w:id="392"/>
      <w:r/>
      <w:bookmarkEnd w:id="393"/>
      <w:r/>
      <w:bookmarkEnd w:id="394"/>
      <w:r/>
      <w:bookmarkEnd w:id="395"/>
      <w:r>
        <w:rPr>
          <w:rFonts w:hint="eastAsia" w:ascii="宋体" w:hAnsi="宋体" w:eastAsia="宋体" w:cs="宋体"/>
          <w:sz w:val="24"/>
          <w:szCs w:val="24"/>
          <w:highlight w:val="none"/>
        </w:rPr>
      </w:r>
      <w:r/>
    </w:p>
    <w:p>
      <w:pPr>
        <w:pStyle w:val="685"/>
        <w:ind w:firstLine="316"/>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33.1出现下列情形之一的，应予废标：</w:t>
      </w:r>
      <w:r>
        <w:rPr>
          <w:rFonts w:hint="eastAsia" w:ascii="宋体" w:hAnsi="宋体" w:eastAsia="宋体" w:cs="宋体"/>
          <w:b/>
          <w:sz w:val="24"/>
          <w:szCs w:val="24"/>
          <w:highlight w:val="none"/>
        </w:rPr>
      </w:r>
      <w:r/>
    </w:p>
    <w:p>
      <w:pPr>
        <w:pStyle w:val="685"/>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（1）符合专业条件的投标人或者对招标文件作实质响应的投标人不足三家的；</w:t>
      </w:r>
      <w:r>
        <w:rPr>
          <w:rFonts w:hint="eastAsia" w:ascii="宋体" w:hAnsi="宋体" w:eastAsia="宋体" w:cs="宋体"/>
          <w:bCs/>
          <w:sz w:val="24"/>
          <w:szCs w:val="24"/>
          <w:highlight w:val="none"/>
        </w:rPr>
      </w:r>
      <w:r/>
    </w:p>
    <w:p>
      <w:pPr>
        <w:pStyle w:val="685"/>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（2）出现影响采购公正的违法、违规行为的；</w:t>
      </w:r>
      <w:r>
        <w:rPr>
          <w:rFonts w:hint="eastAsia" w:ascii="宋体" w:hAnsi="宋体" w:eastAsia="宋体" w:cs="宋体"/>
          <w:bCs/>
          <w:sz w:val="24"/>
          <w:szCs w:val="24"/>
          <w:highlight w:val="none"/>
        </w:rPr>
      </w:r>
      <w:r/>
    </w:p>
    <w:p>
      <w:pPr>
        <w:pStyle w:val="685"/>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（3）投标人的报价均超过了采购预算，采购人不能支付的；</w:t>
      </w:r>
      <w:r>
        <w:rPr>
          <w:rFonts w:hint="eastAsia" w:ascii="宋体" w:hAnsi="宋体" w:eastAsia="宋体" w:cs="宋体"/>
          <w:bCs/>
          <w:sz w:val="24"/>
          <w:szCs w:val="24"/>
          <w:highlight w:val="none"/>
        </w:rPr>
      </w:r>
      <w:r/>
    </w:p>
    <w:p>
      <w:pPr>
        <w:pStyle w:val="685"/>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（4）因重大变故，采购任务取消的。</w:t>
      </w:r>
      <w:r>
        <w:rPr>
          <w:rFonts w:hint="eastAsia" w:ascii="宋体" w:hAnsi="宋体" w:eastAsia="宋体" w:cs="宋体"/>
          <w:bCs/>
          <w:sz w:val="24"/>
          <w:szCs w:val="24"/>
          <w:highlight w:val="none"/>
        </w:rPr>
      </w:r>
      <w:r/>
    </w:p>
    <w:p>
      <w:pPr>
        <w:pStyle w:val="685"/>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33.2废标后，采购人将废标理由通知所有投标人。</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396" w:name="_Toc3963"/>
      <w:r/>
      <w:bookmarkStart w:id="397" w:name="_Toc107246261"/>
      <w:r/>
      <w:bookmarkStart w:id="398" w:name="_Toc17229"/>
      <w:r/>
      <w:bookmarkStart w:id="399" w:name="_Toc14732"/>
      <w:r/>
      <w:bookmarkStart w:id="400" w:name="_Toc14037"/>
      <w:r/>
      <w:bookmarkStart w:id="401" w:name="_Toc104560880"/>
      <w:r/>
      <w:bookmarkStart w:id="402" w:name="_Toc103848565"/>
      <w:r/>
      <w:bookmarkStart w:id="403" w:name="_Toc513029237"/>
      <w:r/>
      <w:bookmarkStart w:id="404" w:name="_Toc16938553"/>
      <w:r/>
      <w:bookmarkStart w:id="405" w:name="_Toc20823309"/>
      <w:r>
        <w:rPr>
          <w:rFonts w:hint="eastAsia" w:ascii="宋体" w:hAnsi="宋体" w:eastAsia="宋体" w:cs="宋体"/>
          <w:sz w:val="24"/>
          <w:szCs w:val="24"/>
          <w:highlight w:val="none"/>
        </w:rPr>
        <w:t xml:space="preserve">34.签订合同</w:t>
      </w:r>
      <w:bookmarkEnd w:id="396"/>
      <w:r/>
      <w:bookmarkEnd w:id="397"/>
      <w:r/>
      <w:bookmarkEnd w:id="398"/>
      <w:r/>
      <w:bookmarkEnd w:id="399"/>
      <w:r/>
      <w:bookmarkEnd w:id="400"/>
      <w:r/>
      <w:bookmarkEnd w:id="401"/>
      <w:r/>
      <w:bookmarkEnd w:id="402"/>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34.3联合体中标的，联合体各方应当共同与采购人签订合同，就中标项目向采购人承担连带责任。</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406" w:name="_Toc104560881"/>
      <w:r/>
      <w:bookmarkStart w:id="407" w:name="_Toc103848567"/>
      <w:r/>
      <w:bookmarkStart w:id="408" w:name="_Toc13291"/>
      <w:r/>
      <w:bookmarkStart w:id="409" w:name="_Toc107246262"/>
      <w:r/>
      <w:bookmarkStart w:id="410" w:name="_Toc12453"/>
      <w:r/>
      <w:bookmarkStart w:id="411" w:name="_Toc22296"/>
      <w:r/>
      <w:bookmarkStart w:id="412" w:name="_Toc31735"/>
      <w:r>
        <w:rPr>
          <w:rFonts w:hint="eastAsia" w:ascii="宋体" w:hAnsi="宋体" w:eastAsia="宋体" w:cs="宋体"/>
          <w:sz w:val="24"/>
          <w:szCs w:val="24"/>
          <w:highlight w:val="none"/>
        </w:rPr>
        <w:t xml:space="preserve">35.履约保证金</w:t>
      </w:r>
      <w:bookmarkEnd w:id="406"/>
      <w:r/>
      <w:bookmarkEnd w:id="407"/>
      <w:r/>
      <w:bookmarkEnd w:id="408"/>
      <w:r/>
      <w:bookmarkEnd w:id="409"/>
      <w:r/>
      <w:bookmarkEnd w:id="410"/>
      <w:r/>
      <w:bookmarkEnd w:id="411"/>
      <w:r/>
      <w:bookmarkEnd w:id="412"/>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如</w:t>
      </w:r>
      <w:r>
        <w:rPr>
          <w:rFonts w:hint="eastAsia" w:ascii="宋体" w:hAnsi="宋体" w:eastAsia="宋体" w:cs="宋体"/>
          <w:sz w:val="24"/>
          <w:szCs w:val="24"/>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eastAsia="宋体" w:cs="宋体"/>
          <w:sz w:val="24"/>
          <w:szCs w:val="24"/>
          <w:highlight w:val="none"/>
        </w:rPr>
      </w:r>
      <w:r/>
    </w:p>
    <w:p>
      <w:pPr>
        <w:pStyle w:val="685"/>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中标人没有按照规定提交履约保证金的，视为放弃中标，其投标保证金不予退还。</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403"/>
      <w:r/>
      <w:bookmarkEnd w:id="404"/>
      <w:r/>
      <w:bookmarkEnd w:id="405"/>
      <w:r/>
      <w:bookmarkStart w:id="413" w:name="_Toc11501"/>
      <w:r/>
      <w:bookmarkStart w:id="414" w:name="_Toc107246263"/>
      <w:r/>
      <w:bookmarkStart w:id="415" w:name="_Toc7045"/>
      <w:r/>
      <w:bookmarkStart w:id="416" w:name="_Toc23794"/>
      <w:r/>
      <w:bookmarkStart w:id="417" w:name="_Toc877"/>
      <w:r>
        <w:rPr>
          <w:rFonts w:hint="eastAsia" w:ascii="宋体" w:hAnsi="宋体" w:eastAsia="宋体" w:cs="宋体"/>
          <w:sz w:val="24"/>
          <w:szCs w:val="24"/>
          <w:highlight w:val="none"/>
        </w:rPr>
        <w:t xml:space="preserve">七．</w:t>
      </w:r>
      <w:bookmarkStart w:id="418" w:name="_Toc103848569"/>
      <w:r>
        <w:rPr>
          <w:rFonts w:hint="eastAsia" w:ascii="宋体" w:hAnsi="宋体" w:eastAsia="宋体" w:cs="宋体"/>
          <w:sz w:val="24"/>
          <w:szCs w:val="24"/>
          <w:highlight w:val="none"/>
        </w:rPr>
        <w:t xml:space="preserve">询问与质疑</w:t>
      </w:r>
      <w:bookmarkEnd w:id="413"/>
      <w:r/>
      <w:bookmarkEnd w:id="414"/>
      <w:r/>
      <w:bookmarkEnd w:id="415"/>
      <w:r/>
      <w:bookmarkEnd w:id="416"/>
      <w:r/>
      <w:bookmarkEnd w:id="417"/>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End w:id="418"/>
      <w:r/>
      <w:bookmarkStart w:id="419" w:name="_Toc31999"/>
      <w:r/>
      <w:bookmarkStart w:id="420" w:name="_Toc17458"/>
      <w:r/>
      <w:bookmarkStart w:id="421" w:name="_Toc107246264"/>
      <w:r/>
      <w:bookmarkStart w:id="422" w:name="_Toc16131"/>
      <w:r/>
      <w:bookmarkStart w:id="423" w:name="_Toc102117305"/>
      <w:r/>
      <w:bookmarkStart w:id="424" w:name="_Toc13968"/>
      <w:r/>
      <w:bookmarkStart w:id="425" w:name="_Toc104560883"/>
      <w:r>
        <w:rPr>
          <w:rFonts w:hint="eastAsia" w:ascii="宋体" w:hAnsi="宋体" w:eastAsia="宋体" w:cs="宋体"/>
          <w:sz w:val="24"/>
          <w:szCs w:val="24"/>
          <w:highlight w:val="none"/>
        </w:rPr>
        <w:t xml:space="preserve">36.询问</w:t>
      </w:r>
      <w:bookmarkEnd w:id="419"/>
      <w:r/>
      <w:bookmarkEnd w:id="420"/>
      <w:r/>
      <w:bookmarkEnd w:id="421"/>
      <w:r/>
      <w:bookmarkEnd w:id="422"/>
      <w:r/>
      <w:bookmarkEnd w:id="423"/>
      <w:r/>
      <w:bookmarkEnd w:id="424"/>
      <w:r/>
      <w:bookmarkEnd w:id="425"/>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36.1供应商对政府采购活动事项有疑问的，可依法提出询问，并按</w:t>
      </w:r>
      <w:r>
        <w:rPr>
          <w:rFonts w:hint="eastAsia" w:ascii="宋体" w:hAnsi="宋体" w:eastAsia="宋体" w:cs="宋体"/>
          <w:b w:val="0"/>
          <w:bCs/>
          <w:sz w:val="24"/>
          <w:szCs w:val="24"/>
          <w:highlight w:val="none"/>
          <w:lang w:val="en-US" w:eastAsia="zh-CN"/>
        </w:rPr>
        <w:t xml:space="preserve">招标文件</w:t>
      </w:r>
      <w:r>
        <w:rPr>
          <w:rFonts w:hint="eastAsia" w:ascii="宋体" w:hAnsi="宋体" w:eastAsia="宋体" w:cs="宋体"/>
          <w:sz w:val="24"/>
          <w:szCs w:val="24"/>
          <w:highlight w:val="none"/>
        </w:rPr>
        <w:t xml:space="preserve">载明的形式通知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对供应商依法提出的询问，在3个工作日内作出答复，但答复的内容不得涉及商业秘密。</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426" w:name="_Toc107246265"/>
      <w:r/>
      <w:bookmarkStart w:id="427" w:name="_Toc24782"/>
      <w:r/>
      <w:bookmarkStart w:id="428" w:name="_Toc104560884"/>
      <w:r/>
      <w:bookmarkStart w:id="429" w:name="_Toc14426"/>
      <w:r/>
      <w:bookmarkStart w:id="430" w:name="_Toc25773"/>
      <w:r/>
      <w:bookmarkStart w:id="431" w:name="_Toc699"/>
      <w:r/>
      <w:bookmarkStart w:id="432" w:name="_Toc102117306"/>
      <w:r>
        <w:rPr>
          <w:rFonts w:hint="eastAsia" w:ascii="宋体" w:hAnsi="宋体" w:eastAsia="宋体" w:cs="宋体"/>
          <w:sz w:val="24"/>
          <w:szCs w:val="24"/>
          <w:highlight w:val="none"/>
        </w:rPr>
        <w:t xml:space="preserve">37.质疑</w:t>
      </w:r>
      <w:bookmarkEnd w:id="426"/>
      <w:r/>
      <w:bookmarkEnd w:id="427"/>
      <w:r/>
      <w:bookmarkEnd w:id="428"/>
      <w:r/>
      <w:bookmarkEnd w:id="429"/>
      <w:r/>
      <w:bookmarkEnd w:id="430"/>
      <w:r/>
      <w:bookmarkEnd w:id="431"/>
      <w:r/>
      <w:bookmarkEnd w:id="432"/>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val="0"/>
          <w:bCs/>
          <w:sz w:val="24"/>
          <w:szCs w:val="24"/>
          <w:highlight w:val="none"/>
          <w:lang w:val="en-US" w:eastAsia="zh-CN"/>
        </w:rPr>
        <w:t xml:space="preserve">招标文件</w:t>
      </w:r>
      <w:r>
        <w:rPr>
          <w:rFonts w:hint="eastAsia" w:ascii="宋体" w:hAnsi="宋体" w:eastAsia="宋体" w:cs="宋体"/>
          <w:sz w:val="24"/>
          <w:szCs w:val="24"/>
          <w:highlight w:val="none"/>
        </w:rPr>
        <w:t xml:space="preserve">的要求向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提出质疑。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将以书面形式答复质疑供应商，但答复的内容不涉及商业秘密。投标人在法定质疑期内针对同一采购程序环节的质疑必须一次性提出。</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37.2以联合体形式参加投标的，应当由组成联合体的所有供应商共同提出。</w:t>
      </w:r>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37.3质疑函应使用财政部制定的范本文件。</w:t>
      </w:r>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433" w:name="_Toc691"/>
      <w:r/>
      <w:bookmarkStart w:id="434" w:name="_Toc5"/>
      <w:r/>
      <w:bookmarkStart w:id="435" w:name="_Toc107246266"/>
      <w:r/>
      <w:bookmarkStart w:id="436" w:name="_Toc2235"/>
      <w:r/>
      <w:bookmarkStart w:id="437" w:name="_Toc29703"/>
      <w:r>
        <w:rPr>
          <w:rFonts w:hint="eastAsia" w:ascii="宋体" w:hAnsi="宋体" w:eastAsia="宋体" w:cs="宋体"/>
          <w:sz w:val="24"/>
          <w:szCs w:val="24"/>
          <w:highlight w:val="none"/>
        </w:rPr>
        <w:t xml:space="preserve">八．其他</w:t>
      </w:r>
      <w:bookmarkEnd w:id="433"/>
      <w:r/>
      <w:bookmarkEnd w:id="434"/>
      <w:r/>
      <w:bookmarkEnd w:id="435"/>
      <w:r/>
      <w:bookmarkEnd w:id="436"/>
      <w:r/>
      <w:bookmarkEnd w:id="437"/>
      <w:r>
        <w:rPr>
          <w:rFonts w:hint="eastAsia" w:ascii="宋体" w:hAnsi="宋体" w:eastAsia="宋体" w:cs="宋体"/>
          <w:sz w:val="24"/>
          <w:szCs w:val="24"/>
          <w:highlight w:val="none"/>
        </w:rPr>
      </w:r>
      <w:r/>
    </w:p>
    <w:p>
      <w:pPr>
        <w:pStyle w:val="861"/>
        <w:ind w:left="0" w:right="210"/>
        <w:spacing w:line="360" w:lineRule="auto"/>
        <w:rPr>
          <w:rFonts w:hint="eastAsia" w:ascii="宋体" w:hAnsi="宋体" w:eastAsia="宋体" w:cs="宋体"/>
          <w:sz w:val="24"/>
          <w:szCs w:val="24"/>
          <w:highlight w:val="none"/>
        </w:rPr>
      </w:pPr>
      <w:r/>
      <w:bookmarkStart w:id="438" w:name="_Toc104560886"/>
      <w:r/>
      <w:bookmarkStart w:id="439" w:name="_Toc29330"/>
      <w:r/>
      <w:bookmarkStart w:id="440" w:name="_Toc107246267"/>
      <w:r/>
      <w:bookmarkStart w:id="441" w:name="_Toc27424"/>
      <w:r/>
      <w:bookmarkStart w:id="442" w:name="_Toc103848572"/>
      <w:r/>
      <w:bookmarkStart w:id="443" w:name="_Toc10620"/>
      <w:r/>
      <w:bookmarkStart w:id="444" w:name="_Toc16602"/>
      <w:r>
        <w:rPr>
          <w:rFonts w:hint="eastAsia" w:ascii="宋体" w:hAnsi="宋体" w:eastAsia="宋体" w:cs="宋体"/>
          <w:sz w:val="24"/>
          <w:szCs w:val="24"/>
          <w:highlight w:val="none"/>
        </w:rPr>
        <w:t xml:space="preserve">38.招标代理服务费</w:t>
      </w:r>
      <w:bookmarkEnd w:id="438"/>
      <w:r/>
      <w:bookmarkEnd w:id="439"/>
      <w:r/>
      <w:bookmarkEnd w:id="440"/>
      <w:r/>
      <w:bookmarkEnd w:id="441"/>
      <w:r/>
      <w:bookmarkEnd w:id="442"/>
      <w:r/>
      <w:bookmarkEnd w:id="443"/>
      <w:r/>
      <w:bookmarkEnd w:id="444"/>
      <w:r>
        <w:rPr>
          <w:rFonts w:hint="eastAsia" w:ascii="宋体" w:hAnsi="宋体" w:eastAsia="宋体" w:cs="宋体"/>
          <w:sz w:val="24"/>
          <w:szCs w:val="24"/>
          <w:highlight w:val="none"/>
        </w:rPr>
      </w:r>
      <w:r/>
    </w:p>
    <w:p>
      <w:pPr>
        <w:pStyle w:val="685"/>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Times New Roman"/>
          <w:b/>
          <w:bCs/>
          <w:sz w:val="24"/>
          <w:highlight w:val="none"/>
        </w:rPr>
        <w:t xml:space="preserve">38.1本项目代理服</w:t>
      </w:r>
      <w:r>
        <w:rPr>
          <w:rFonts w:hint="eastAsia" w:ascii="宋体" w:hAnsi="宋体"/>
          <w:b/>
          <w:bCs/>
          <w:color w:val="000000"/>
          <w:sz w:val="24"/>
          <w:highlight w:val="none"/>
        </w:rPr>
        <w:t xml:space="preserve">务费以为中标价为计算基</w:t>
      </w:r>
      <w:r>
        <w:rPr>
          <w:rFonts w:hint="eastAsia" w:ascii="宋体" w:hAnsi="宋体"/>
          <w:b/>
          <w:bCs/>
          <w:sz w:val="24"/>
          <w:highlight w:val="none"/>
        </w:rPr>
        <w:t xml:space="preserve">础，参照“计价格[2002]1980号文件收费标准的8</w:t>
      </w:r>
      <w:r>
        <w:rPr>
          <w:rFonts w:ascii="宋体" w:hAnsi="宋体"/>
          <w:b/>
          <w:bCs/>
          <w:sz w:val="24"/>
          <w:highlight w:val="none"/>
        </w:rPr>
        <w:t xml:space="preserve">0%</w:t>
      </w:r>
      <w:r>
        <w:rPr>
          <w:rFonts w:hint="eastAsia" w:ascii="宋体" w:hAnsi="宋体"/>
          <w:b/>
          <w:bCs/>
          <w:sz w:val="24"/>
          <w:highlight w:val="none"/>
        </w:rPr>
        <w:t xml:space="preserve">收取。代理服务费由中标供应商在领取中标通知书时向采购代理缴纳。</w:t>
      </w:r>
      <w:r>
        <w:rPr>
          <w:rFonts w:ascii="宋体" w:hAnsi="宋体" w:eastAsia="宋体" w:cs="宋体"/>
          <w:sz w:val="24"/>
          <w:szCs w:val="24"/>
          <w:highlight w:val="none"/>
          <w:lang w:val="en-US" w:eastAsia="zh-CN"/>
        </w:rPr>
      </w:r>
      <w:r/>
    </w:p>
    <w:p>
      <w:pPr>
        <w:pStyle w:val="861"/>
        <w:ind w:left="0" w:right="210"/>
        <w:spacing w:line="360" w:lineRule="auto"/>
        <w:rPr>
          <w:rFonts w:hint="eastAsia" w:ascii="宋体" w:hAnsi="宋体" w:eastAsia="宋体" w:cs="宋体"/>
          <w:sz w:val="24"/>
          <w:szCs w:val="24"/>
          <w:highlight w:val="none"/>
        </w:rPr>
      </w:pPr>
      <w:r/>
      <w:bookmarkStart w:id="445" w:name="_Toc107246269"/>
      <w:r/>
      <w:bookmarkStart w:id="446" w:name="_Toc17112"/>
      <w:r/>
      <w:bookmarkStart w:id="447" w:name="_Toc104560888"/>
      <w:r/>
      <w:bookmarkStart w:id="448" w:name="_Toc30669"/>
      <w:r/>
      <w:bookmarkStart w:id="449" w:name="_Toc5868"/>
      <w:r/>
      <w:bookmarkStart w:id="450" w:name="_Toc12087"/>
      <w:r/>
      <w:bookmarkStart w:id="451" w:name="_Toc103848574"/>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.文件解释权</w:t>
      </w:r>
      <w:bookmarkEnd w:id="445"/>
      <w:r/>
      <w:bookmarkEnd w:id="446"/>
      <w:r/>
      <w:bookmarkEnd w:id="447"/>
      <w:r/>
      <w:bookmarkEnd w:id="448"/>
      <w:r/>
      <w:bookmarkEnd w:id="449"/>
      <w:r/>
      <w:bookmarkEnd w:id="450"/>
      <w:r/>
      <w:bookmarkEnd w:id="451"/>
      <w:r>
        <w:rPr>
          <w:rFonts w:hint="eastAsia" w:ascii="宋体" w:hAnsi="宋体" w:eastAsia="宋体" w:cs="宋体"/>
          <w:sz w:val="24"/>
          <w:szCs w:val="24"/>
          <w:highlight w:val="none"/>
        </w:rPr>
      </w:r>
      <w:r/>
    </w:p>
    <w:p>
      <w:pPr>
        <w:pStyle w:val="685"/>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.1本招标文件的解释权归采购人（或采购代理机构）所有。</w:t>
      </w:r>
      <w:r>
        <w:rPr>
          <w:rFonts w:hint="eastAsia" w:ascii="宋体" w:hAnsi="宋体" w:eastAsia="宋体" w:cs="宋体"/>
          <w:sz w:val="24"/>
          <w:szCs w:val="24"/>
          <w:highlight w:val="none"/>
        </w:rPr>
      </w:r>
      <w:r/>
    </w:p>
    <w:p>
      <w:pPr>
        <w:pStyle w:val="685"/>
        <w:jc w:val="left"/>
        <w:widowControl/>
        <w:rPr>
          <w:rFonts w:ascii="华文中宋" w:hAnsi="华文中宋" w:eastAsia="华文中宋"/>
          <w:b/>
          <w:sz w:val="36"/>
          <w:szCs w:val="36"/>
          <w:highlight w:val="none"/>
        </w:rPr>
      </w:pPr>
      <w:r>
        <w:rPr>
          <w:rFonts w:ascii="华文中宋" w:hAnsi="华文中宋" w:eastAsia="华文中宋"/>
          <w:b/>
          <w:sz w:val="36"/>
          <w:szCs w:val="36"/>
          <w:highlight w:val="none"/>
        </w:rPr>
      </w:r>
      <w:r/>
    </w:p>
    <w:p>
      <w:pPr>
        <w:pStyle w:val="686"/>
        <w:jc w:val="center"/>
        <w:spacing w:before="291" w:after="291"/>
        <w:rPr>
          <w:rFonts w:hint="eastAsia"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Start w:id="452" w:name="_Toc9363434"/>
      <w:r/>
      <w:bookmarkStart w:id="453" w:name="_Toc12708979"/>
      <w:r/>
      <w:bookmarkStart w:id="454" w:name="_Toc12887269"/>
      <w:r/>
      <w:bookmarkStart w:id="455" w:name="_Toc18345"/>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示范合同</w:t>
      </w:r>
      <w:bookmarkEnd w:id="40"/>
      <w:r/>
      <w:bookmarkEnd w:id="41"/>
      <w:r/>
      <w:bookmarkEnd w:id="47"/>
      <w:r/>
      <w:bookmarkEnd w:id="48"/>
      <w:r/>
      <w:bookmarkEnd w:id="49"/>
      <w:r>
        <w:rPr>
          <w:rFonts w:hint="eastAsia" w:ascii="华文中宋" w:hAnsi="华文中宋" w:eastAsia="华文中宋"/>
          <w:b/>
          <w:sz w:val="36"/>
          <w:szCs w:val="36"/>
          <w:highlight w:val="none"/>
        </w:rPr>
        <w:t xml:space="preserve">文本</w:t>
      </w:r>
      <w:bookmarkEnd w:id="46"/>
      <w:r/>
      <w:bookmarkEnd w:id="452"/>
      <w:r/>
      <w:bookmarkEnd w:id="453"/>
      <w:r/>
      <w:bookmarkEnd w:id="454"/>
      <w:r/>
      <w:bookmarkEnd w:id="455"/>
      <w:r>
        <w:rPr>
          <w:rFonts w:hint="eastAsia" w:ascii="华文中宋" w:hAnsi="华文中宋" w:eastAsia="华文中宋"/>
          <w:b/>
          <w:sz w:val="36"/>
          <w:szCs w:val="36"/>
          <w:highlight w:val="none"/>
        </w:rPr>
      </w:r>
      <w:r/>
    </w:p>
    <w:p>
      <w:pPr>
        <w:pStyle w:val="858"/>
        <w:ind w:firstLine="1405"/>
        <w:rPr>
          <w:sz w:val="28"/>
          <w:szCs w:val="28"/>
          <w:highlight w:val="none"/>
        </w:rPr>
      </w:pPr>
      <w:r/>
      <w:bookmarkStart w:id="456" w:name="_Toc31165"/>
      <w:r/>
      <w:bookmarkStart w:id="457" w:name="_Toc9363435"/>
      <w:r/>
      <w:bookmarkStart w:id="458" w:name="_Toc8485121"/>
      <w:r/>
      <w:bookmarkStart w:id="459" w:name="_Toc12708980"/>
      <w:r/>
      <w:bookmarkStart w:id="460" w:name="_Toc12887270"/>
      <w:r/>
      <w:bookmarkStart w:id="461" w:name="_Toc479757211"/>
      <w:r/>
      <w:bookmarkStart w:id="462" w:name="_Toc462564139"/>
      <w:r>
        <w:rPr>
          <w:rFonts w:hint="eastAsia"/>
          <w:sz w:val="28"/>
          <w:szCs w:val="28"/>
          <w:highlight w:val="none"/>
        </w:rPr>
        <w:t xml:space="preserve">（本项目最终签订的合同由合同双方协商后确定）</w:t>
      </w:r>
      <w:bookmarkEnd w:id="456"/>
      <w:r>
        <w:rPr>
          <w:sz w:val="28"/>
          <w:szCs w:val="28"/>
          <w:highlight w:val="none"/>
        </w:rPr>
      </w:r>
      <w:r/>
    </w:p>
    <w:p>
      <w:pPr>
        <w:pStyle w:val="685"/>
        <w:spacing w:before="62" w:line="400" w:lineRule="exact"/>
        <w:rPr>
          <w:rFonts w:ascii="宋体" w:hAnsi="宋体"/>
          <w:sz w:val="24"/>
          <w:highlight w:val="none"/>
        </w:rPr>
      </w:pPr>
      <w:r>
        <w:rPr>
          <w:rFonts w:ascii="宋体" w:hAnsi="宋体"/>
          <w:sz w:val="24"/>
          <w:highlight w:val="none"/>
        </w:rPr>
      </w:r>
      <w:r/>
    </w:p>
    <w:p>
      <w:pPr>
        <w:pStyle w:val="685"/>
        <w:jc w:val="center"/>
        <w:spacing w:before="291"/>
        <w:rPr>
          <w:b/>
          <w:sz w:val="32"/>
          <w:szCs w:val="32"/>
          <w:highlight w:val="none"/>
        </w:rPr>
      </w:pPr>
      <w:r/>
      <w:bookmarkStart w:id="463" w:name="purchase_relation_tel"/>
      <w:r/>
      <w:bookmarkEnd w:id="463"/>
      <w:r/>
      <w:bookmarkStart w:id="464" w:name="purchase_relation_name"/>
      <w:r/>
      <w:bookmarkEnd w:id="464"/>
      <w:r/>
      <w:bookmarkStart w:id="465" w:name="supplier_relation_tel"/>
      <w:r/>
      <w:bookmarkEnd w:id="465"/>
      <w:r/>
      <w:bookmarkStart w:id="466" w:name="purchase_end"/>
      <w:r/>
      <w:bookmarkEnd w:id="466"/>
      <w:r/>
      <w:bookmarkStart w:id="467" w:name="supplier_relation_name"/>
      <w:r/>
      <w:bookmarkEnd w:id="467"/>
      <w:r>
        <w:rPr>
          <w:b/>
          <w:sz w:val="32"/>
          <w:szCs w:val="32"/>
          <w:highlight w:val="none"/>
        </w:rPr>
        <w:t xml:space="preserve">政府采购合同</w:t>
      </w:r>
      <w:r>
        <w:rPr>
          <w:b/>
          <w:sz w:val="32"/>
          <w:szCs w:val="32"/>
          <w:highlight w:val="none"/>
        </w:rPr>
      </w:r>
      <w:r/>
    </w:p>
    <w:p>
      <w:pPr>
        <w:pStyle w:val="685"/>
        <w:spacing w:before="58" w:line="400" w:lineRule="exact"/>
        <w:rPr>
          <w:rFonts w:ascii="宋体" w:hAnsi="宋体"/>
          <w:sz w:val="24"/>
          <w:highlight w:val="none"/>
        </w:rPr>
      </w:pPr>
      <w:r>
        <w:rPr>
          <w:rFonts w:ascii="宋体" w:hAnsi="宋体"/>
          <w:sz w:val="24"/>
          <w:highlight w:val="none"/>
        </w:rPr>
      </w:r>
      <w:r/>
    </w:p>
    <w:p>
      <w:pPr>
        <w:pStyle w:val="685"/>
        <w:ind w:firstLine="482"/>
        <w:spacing w:line="440" w:lineRule="exact"/>
        <w:rPr>
          <w:rFonts w:hint="eastAsia" w:ascii="宋体" w:hAnsi="宋体" w:cs="宋体"/>
          <w:b/>
          <w:bCs/>
          <w:sz w:val="24"/>
          <w:highlight w:val="none"/>
          <w:u w:val="single"/>
        </w:rPr>
      </w:pPr>
      <w:r>
        <w:rPr>
          <w:rFonts w:hint="eastAsia" w:ascii="宋体" w:hAnsi="宋体" w:cs="宋体"/>
          <w:b/>
          <w:bCs/>
          <w:sz w:val="24"/>
          <w:highlight w:val="none"/>
        </w:rPr>
        <w:t xml:space="preserve">甲方</w:t>
      </w:r>
      <w:bookmarkStart w:id="468" w:name="purchase_start"/>
      <w:r/>
      <w:bookmarkEnd w:id="468"/>
      <w:r>
        <w:rPr>
          <w:rFonts w:hint="eastAsia" w:ascii="宋体" w:hAnsi="宋体" w:cs="宋体"/>
          <w:b/>
          <w:bCs/>
          <w:sz w:val="24"/>
          <w:highlight w:val="none"/>
        </w:rPr>
        <w:t xml:space="preserve">： 江苏省市场监督管理局  </w:t>
      </w:r>
      <w:r>
        <w:rPr>
          <w:rFonts w:hint="eastAsia" w:ascii="宋体" w:hAnsi="宋体" w:cs="宋体"/>
          <w:b/>
          <w:bCs/>
          <w:sz w:val="24"/>
          <w:highlight w:val="none"/>
          <w:u w:val="singl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乙方</w:t>
      </w:r>
      <w:bookmarkStart w:id="469" w:name="suppliers_name"/>
      <w:r/>
      <w:bookmarkEnd w:id="469"/>
      <w:r>
        <w:rPr>
          <w:rFonts w:hint="eastAsia" w:ascii="宋体" w:hAnsi="宋体" w:cs="宋体"/>
          <w:b/>
          <w:bCs/>
          <w:sz w:val="24"/>
          <w:highlight w:val="none"/>
        </w:rPr>
        <w:t xml:space="preserve">：</w:t>
      </w:r>
      <w:r>
        <w:rPr>
          <w:rFonts w:hint="eastAsia" w:ascii="宋体" w:hAnsi="宋体" w:cs="宋体"/>
          <w:b/>
          <w:bCs/>
          <w:sz w:val="24"/>
          <w:highlight w:val="none"/>
        </w:rPr>
      </w:r>
      <w:r/>
    </w:p>
    <w:p>
      <w:pPr>
        <w:pStyle w:val="685"/>
        <w:spacing w:line="440" w:lineRule="exact"/>
        <w:rPr>
          <w:rFonts w:hint="eastAsia" w:ascii="宋体" w:hAnsi="宋体" w:cs="宋体"/>
          <w:sz w:val="24"/>
          <w:highlight w:val="none"/>
        </w:rPr>
      </w:pPr>
      <w:r>
        <w:rPr>
          <w:rFonts w:hint="eastAsia" w:ascii="宋体" w:hAnsi="宋体" w:cs="宋体"/>
          <w:sz w:val="24"/>
          <w:highlight w:val="none"/>
        </w:rPr>
      </w:r>
      <w:r/>
    </w:p>
    <w:p>
      <w:pPr>
        <w:pStyle w:val="685"/>
        <w:ind w:firstLine="480"/>
        <w:jc w:val="left"/>
        <w:spacing w:line="440" w:lineRule="exact"/>
        <w:rPr>
          <w:rFonts w:hint="eastAsia" w:ascii="宋体" w:hAnsi="宋体" w:cs="宋体"/>
          <w:sz w:val="24"/>
          <w:highlight w:val="none"/>
          <w:u w:val="single"/>
        </w:rPr>
      </w:pPr>
      <w:r>
        <w:rPr>
          <w:rFonts w:hint="eastAsia" w:ascii="宋体" w:hAnsi="宋体" w:cs="宋体"/>
          <w:sz w:val="24"/>
          <w:highlight w:val="none"/>
        </w:rPr>
        <w:t xml:space="preserve">甲乙双方经协商一致，就特种设备行政许可鉴定评审技术服务，达成如下采购合同：</w:t>
      </w:r>
      <w:r>
        <w:rPr>
          <w:rFonts w:hint="eastAsia" w:ascii="宋体" w:hAnsi="宋体" w:cs="宋体"/>
          <w:sz w:val="24"/>
          <w:highlight w:val="none"/>
          <w:u w:val="singl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一、采购标的</w:t>
      </w:r>
      <w:r>
        <w:rPr>
          <w:rFonts w:hint="eastAsia" w:ascii="宋体" w:hAnsi="宋体" w:cs="宋体"/>
          <w:b/>
          <w:bCs/>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1、服务项目</w:t>
      </w:r>
      <w:r>
        <w:rPr>
          <w:rFonts w:hint="eastAsia" w:ascii="宋体" w:hAnsi="宋体" w:cs="宋体"/>
          <w:sz w:val="24"/>
          <w:highlight w:val="none"/>
        </w:rPr>
      </w:r>
      <w:r/>
    </w:p>
    <w:p>
      <w:pPr>
        <w:pStyle w:val="685"/>
        <w:ind w:firstLine="48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自2026年6月1日至2028年5月31日甲方委托乙方开展的</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685"/>
        <w:jc w:val="left"/>
        <w:spacing w:line="440" w:lineRule="exact"/>
        <w:rPr>
          <w:rFonts w:hint="eastAsia" w:ascii="宋体" w:hAnsi="宋体" w:cs="宋体"/>
          <w:sz w:val="24"/>
          <w:highlight w:val="none"/>
          <w:u w:val="single"/>
        </w:rPr>
      </w:pPr>
      <w:r>
        <w:rPr>
          <w:rFonts w:hint="eastAsia" w:ascii="宋体" w:hAnsi="宋体" w:cs="宋体"/>
          <w:bCs/>
          <w:color w:val="ffffff"/>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sz w:val="24"/>
          <w:highlight w:val="none"/>
          <w:u w:val="single"/>
        </w:rPr>
      </w:r>
      <w:r/>
    </w:p>
    <w:p>
      <w:pPr>
        <w:pStyle w:val="685"/>
        <w:ind w:firstLine="480"/>
        <w:spacing w:line="440" w:lineRule="exact"/>
        <w:rPr>
          <w:rFonts w:hint="eastAsia" w:ascii="宋体" w:hAnsi="宋体" w:cs="宋体"/>
          <w:bCs/>
          <w:sz w:val="24"/>
          <w:highlight w:val="none"/>
        </w:rPr>
      </w:pPr>
      <w:r>
        <w:rPr>
          <w:rFonts w:hint="eastAsia" w:ascii="宋体" w:hAnsi="宋体" w:cs="宋体"/>
          <w:sz w:val="24"/>
          <w:highlight w:val="none"/>
        </w:rPr>
        <w:t xml:space="preserve">2、服务完成期限：乙方自收到甲方委托评审通知之日起1年内完成（检验检测机构核准为60个工作日、A级锅炉安装为2年内完成）。</w:t>
      </w:r>
      <w:r>
        <w:rPr>
          <w:rFonts w:hint="eastAsia" w:ascii="宋体" w:hAnsi="宋体" w:cs="宋体"/>
          <w:bCs/>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二、合同价款</w:t>
      </w:r>
      <w:r>
        <w:rPr>
          <w:rFonts w:hint="eastAsia" w:ascii="宋体" w:hAnsi="宋体" w:cs="宋体"/>
          <w:sz w:val="24"/>
          <w:highlight w:val="non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bCs/>
          <w:sz w:val="24"/>
          <w:highlight w:val="none"/>
        </w:rPr>
      </w:pPr>
      <w:r>
        <w:rPr>
          <w:rFonts w:hint="eastAsia" w:ascii="宋体" w:hAnsi="宋体" w:cs="宋体"/>
          <w:sz w:val="24"/>
          <w:highlight w:val="none"/>
        </w:rPr>
        <w:t xml:space="preserve">本项目合同预算价（大写）</w:t>
      </w:r>
      <w:r>
        <w:rPr>
          <w:rFonts w:hint="eastAsia" w:ascii="宋体" w:hAnsi="宋体" w:cs="宋体"/>
          <w:sz w:val="24"/>
          <w:highlight w:val="none"/>
          <w:u w:val="single"/>
        </w:rPr>
        <w:t xml:space="preserve">：       万元 </w:t>
      </w:r>
      <w:r>
        <w:rPr>
          <w:rFonts w:hint="eastAsia" w:ascii="宋体" w:hAnsi="宋体" w:cs="宋体"/>
          <w:sz w:val="24"/>
          <w:highlight w:val="none"/>
        </w:rPr>
        <w:t xml:space="preserve">（小写：</w:t>
      </w:r>
      <w:r>
        <w:rPr>
          <w:rFonts w:hint="eastAsia" w:ascii="宋体" w:hAnsi="宋体" w:cs="宋体"/>
          <w:sz w:val="24"/>
          <w:highlight w:val="none"/>
          <w:u w:val="single"/>
        </w:rPr>
        <w:t xml:space="preserve">¥    万元</w:t>
      </w:r>
      <w:r>
        <w:rPr>
          <w:rFonts w:hint="eastAsia" w:ascii="宋体" w:hAnsi="宋体" w:cs="宋体"/>
          <w:sz w:val="24"/>
          <w:highlight w:val="none"/>
        </w:rPr>
        <w:t xml:space="preserve">）；单价（大写）：</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      元/家</w:t>
      </w:r>
      <w:r>
        <w:rPr>
          <w:rFonts w:hint="eastAsia" w:ascii="宋体" w:hAnsi="宋体" w:cs="宋体"/>
          <w:sz w:val="24"/>
          <w:highlight w:val="none"/>
        </w:rPr>
        <w:t xml:space="preserve">）。</w:t>
      </w:r>
      <w:r>
        <w:rPr>
          <w:rFonts w:hint="eastAsia" w:ascii="宋体" w:hAnsi="宋体" w:cs="宋体"/>
          <w:bCs/>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三、合同履行</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本合同提供的服务按照特种设备行政 许可鉴定评审相关规定履行，甲乙双方通过补充条款进行特殊约定的，补充条款与主合同条款具有同等效力。</w:t>
      </w:r>
      <w:r>
        <w:rPr>
          <w:rFonts w:hint="eastAsia" w:ascii="宋体" w:hAnsi="宋体" w:cs="宋体"/>
          <w:sz w:val="24"/>
          <w:highlight w:val="non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四、验收</w:t>
      </w:r>
      <w:r>
        <w:rPr>
          <w:rFonts w:hint="eastAsia" w:ascii="宋体" w:hAnsi="宋体" w:cs="宋体"/>
          <w:b/>
          <w:bCs/>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在合同履行期间，有权依照合同相关要求对乙方提供的相关服务或交付的工作成果进行阶段性验收及总体验收。经验收不合格的，乙方应当按照甲方要求在指定的合理期限内进行整改和完善，直至符合相关标准。逾期不予整改或经整改仍不能符合相关要求，或者导致合同目的无法实现，甲方有权依照法律程序解除合同，并追究乙方违约责任。</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五、合同责任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1、甲方应当为乙方履行合同提供必要的支持。</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3、乙方在履行合同中产生的一切非因甲方过错导致的损失，均由乙方自行承担责任。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4、甲乙双方均应指定专人作为本合同履行期间双方之间的联络人，所有一方向相对方正式知会事项的通知到达相对方指定联络人即视为到达对方。</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甲方指定联络人：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邮箱：</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乙方指定联络人：</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邮箱：</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bCs/>
          <w:sz w:val="24"/>
          <w:highlight w:val="none"/>
        </w:rPr>
        <w:t xml:space="preserve">六、履约保证金</w:t>
      </w:r>
      <w:r>
        <w:rPr>
          <w:rFonts w:hint="eastAsia" w:ascii="宋体" w:hAnsi="宋体" w:cs="宋体"/>
          <w:sz w:val="24"/>
          <w:highlight w:val="none"/>
        </w:rPr>
        <w:t xml:space="preserve">：无。</w:t>
      </w:r>
      <w:r>
        <w:rPr>
          <w:rFonts w:hint="eastAsia" w:ascii="宋体" w:hAnsi="宋体" w:cs="宋体"/>
          <w:sz w:val="24"/>
          <w:highlight w:val="none"/>
        </w:rPr>
      </w:r>
      <w:r/>
    </w:p>
    <w:p>
      <w:pPr>
        <w:pStyle w:val="685"/>
        <w:ind w:firstLine="422"/>
        <w:spacing w:line="440" w:lineRule="exact"/>
        <w:rPr>
          <w:rFonts w:hint="eastAsia" w:ascii="宋体" w:hAnsi="宋体" w:cs="宋体"/>
          <w:b/>
          <w:bCs/>
          <w:sz w:val="24"/>
          <w:highlight w:val="none"/>
        </w:rPr>
      </w:pPr>
      <w:r>
        <w:rPr>
          <w:rFonts w:hint="eastAsia" w:ascii="宋体" w:hAnsi="宋体" w:cs="宋体"/>
          <w:b/>
          <w:bCs/>
          <w:sz w:val="24"/>
          <w:highlight w:val="none"/>
        </w:rPr>
        <w:t xml:space="preserve">七、付款</w:t>
      </w:r>
      <w:r>
        <w:rPr>
          <w:rFonts w:hint="eastAsia" w:ascii="宋体" w:hAnsi="宋体" w:cs="宋体"/>
          <w:b/>
          <w:bCs/>
          <w:sz w:val="24"/>
          <w:highlight w:val="none"/>
        </w:rPr>
      </w:r>
      <w:r/>
    </w:p>
    <w:p>
      <w:pPr>
        <w:pStyle w:val="685"/>
        <w:ind w:firstLine="42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按鉴定评审的家数为计价单位。不考虑被鉴定评审对象的特种设备具体品种和级别，不考虑换证、取证、增项或者升级等申请类别，不考虑评审对象所在区域等差别。价款中包括评审人员的食宿交通劳务费等开支，不得再向评审对象收取或者报销任何费用。乙方根据江苏省市场监督管理局委托开展鉴定评审技术服务。</w:t>
      </w:r>
      <w:r>
        <w:rPr>
          <w:rFonts w:hint="eastAsia" w:ascii="宋体" w:hAnsi="宋体" w:cs="宋体"/>
          <w:b/>
          <w:bCs/>
          <w:color w:val="000000"/>
          <w:sz w:val="24"/>
          <w:highlight w:val="none"/>
        </w:rPr>
        <w:t xml:space="preserve">甲方每季度按实际出具的评审报告家数计算支付总额（单价*实际完成评审单位家数）。</w:t>
      </w:r>
      <w:r>
        <w:rPr>
          <w:rFonts w:hint="eastAsia" w:ascii="宋体" w:hAnsi="宋体" w:cs="宋体"/>
          <w:b/>
          <w:bCs/>
          <w:sz w:val="24"/>
          <w:highlight w:val="none"/>
        </w:rPr>
        <w:t xml:space="preserve">最终拨付款累计不超过预算价，如超过预算价，甲方不支付超出部分费用（乙方仍需完成甲方委托的全部任务）。</w:t>
      </w:r>
      <w:r>
        <w:rPr>
          <w:rFonts w:hint="eastAsia" w:ascii="宋体" w:hAnsi="宋体" w:cs="宋体"/>
          <w:color w:val="000000"/>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八、保密条款</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乙方不得将在履行本合同中知悉的甲方任何信息随意泄露、擅自使用。如违反本条款规定，甲方有权取消乙方相关服务直至所有服务的承接资格。</w:t>
      </w:r>
      <w:r>
        <w:rPr>
          <w:rFonts w:hint="eastAsia" w:ascii="宋体" w:hAnsi="宋体" w:cs="宋体"/>
          <w:sz w:val="24"/>
          <w:highlight w:val="none"/>
          <w:u w:val="singl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九、合同纠纷处理</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本合同执行过程中发生纠纷，由甲乙双方协商处理，若协商不成，双方一致同意向甲方所在地有管辖权的法院提起诉讼。</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十、合同生效：</w:t>
      </w:r>
      <w:r>
        <w:rPr>
          <w:rFonts w:hint="eastAsia" w:ascii="宋体" w:hAnsi="宋体" w:cs="宋体"/>
          <w:sz w:val="24"/>
          <w:highlight w:val="none"/>
        </w:rPr>
        <w:t xml:space="preserve">本合同由甲乙双方签字并盖章后生效。</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十一、组成本合同的文件</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1、《特种设备生产和充装单位许可规则》（TSG 07-2019）、《特种设备检测机构核准规则》（TSG Z7002-2022）、《特种设备检验机构核准规则》（TSG Z7001-2021）、《江苏省市场监督管理局特种设备行政许可鉴定评审管理办法》等特种设备安全技术规范和评审管理相关文件以及修改单；</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2、本项目招标文件、中标供应商投标文件、中标通知书，以及中标供应商做出的有关承诺等；</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3、甲乙双方商定的其他必要文件。</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上述合同文件内容互为补充，如有不明确，由甲方负责解释。</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十二、合同备案</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本合同一式四份，中文书写；甲方三份，乙方一份。</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十三、补充条款</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1、按照特种设备安全有关法律法规和安全技术规范、标准、规定开展行政许可鉴定评审，出具鉴定评审报告，遵照江苏省市场监督管理局对鉴定评审工作有关规定。</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2、乙方应结合自身鉴定评审能力，应在规定时间内完成鉴定评审任务，如因乙方自身原因导致鉴定评审任务延期完成，一切后果由乙方承担。</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应当对其出具的鉴定评审报告的真实性和准确性负责。鉴定评审机构由于虚假、错误鉴定评审结论而给被鉴定评审单位造成损失的，或者给社会带来不良影响的，乙方应当负责赔偿，并承担相应法律责任。</w:t>
      </w:r>
      <w:r>
        <w:rPr>
          <w:rFonts w:hint="eastAsia" w:ascii="宋体" w:hAnsi="宋体" w:cs="宋体"/>
          <w:sz w:val="24"/>
          <w:highlight w:val="non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4、被鉴定评审单位等利益相关方对鉴定评审行为、结果持有异议的，乙方负责解释说明。如乙方原因造成相关方损失影响的，由乙方负责处理。</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5、在有效服务期内，如乙方在人员配置、作业管理、质量控制等各个方面不能满足甲方的相关要求或乙方没有兑现相关承诺，甲方有权单方面解除合同，并保留追究其法律责任的权利。</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6、为保证行政许可申请人利益或公共安全需要，甲方有权在项目实施过程中，因紧急情况，对任务分工作临时性调整。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7、乙方不得以任何方式转包、分包或挂靠本项目。如发现乙方有转包、分包或挂靠行为，甲方有权解除合同、并要求赔偿相关损失。</w:t>
      </w:r>
      <w:r>
        <w:rPr>
          <w:rFonts w:hint="eastAsia" w:ascii="宋体" w:hAnsi="宋体" w:cs="宋体"/>
          <w:sz w:val="24"/>
          <w:highlight w:val="none"/>
        </w:rPr>
      </w:r>
      <w:r/>
    </w:p>
    <w:p>
      <w:pPr>
        <w:pStyle w:val="859"/>
        <w:spacing w:line="440" w:lineRule="exact"/>
        <w:rPr>
          <w:rFonts w:hint="eastAsia" w:ascii="宋体" w:hAnsi="宋体" w:cs="宋体"/>
          <w:sz w:val="24"/>
          <w:highlight w:val="none"/>
        </w:rPr>
      </w:pPr>
      <w:r>
        <w:rPr>
          <w:rFonts w:hint="eastAsia" w:ascii="宋体" w:hAnsi="宋体" w:cs="宋体"/>
          <w:sz w:val="24"/>
          <w:highlight w:val="none"/>
        </w:rPr>
      </w:r>
      <w:r/>
    </w:p>
    <w:p>
      <w:pPr>
        <w:pStyle w:val="859"/>
        <w:spacing w:line="440" w:lineRule="exact"/>
        <w:rPr>
          <w:rFonts w:hint="eastAsia" w:ascii="宋体" w:hAnsi="宋体" w:cs="宋体"/>
          <w:sz w:val="24"/>
          <w:highlight w:val="none"/>
        </w:rPr>
      </w:pPr>
      <w:r>
        <w:rPr>
          <w:rFonts w:hint="eastAsia" w:ascii="宋体" w:hAnsi="宋体" w:cs="宋体"/>
          <w:sz w:val="24"/>
          <w:highlight w:val="none"/>
        </w:rPr>
      </w:r>
      <w:r/>
    </w:p>
    <w:p>
      <w:pPr>
        <w:pStyle w:val="685"/>
        <w:ind w:left="567"/>
        <w:spacing w:line="440" w:lineRule="exact"/>
        <w:rPr>
          <w:rFonts w:hint="eastAsia" w:ascii="宋体" w:hAnsi="宋体" w:cs="宋体"/>
          <w:sz w:val="24"/>
          <w:highlight w:val="none"/>
        </w:rPr>
      </w:pPr>
      <w:r>
        <w:rPr>
          <w:rFonts w:hint="eastAsia" w:ascii="宋体" w:hAnsi="宋体" w:cs="宋体"/>
          <w:sz w:val="24"/>
          <w:highlight w:val="none"/>
        </w:rPr>
        <w:t xml:space="preserve">甲方：</w:t>
      </w:r>
      <w:bookmarkStart w:id="470" w:name="purchase_name_one"/>
      <w:r/>
      <w:bookmarkEnd w:id="470"/>
      <w:r/>
      <w:bookmarkStart w:id="471" w:name="purchase_one_start"/>
      <w:r/>
      <w:bookmarkEnd w:id="471"/>
      <w:r>
        <w:rPr>
          <w:rFonts w:hint="eastAsia" w:ascii="宋体" w:hAnsi="宋体" w:cs="宋体"/>
          <w:sz w:val="24"/>
          <w:highlight w:val="none"/>
        </w:rPr>
        <w:t xml:space="preserve">江苏省市场监督管理局（盖章）      乙方：（盖章）</w:t>
      </w:r>
      <w:r>
        <w:rPr>
          <w:rFonts w:hint="eastAsia" w:ascii="宋体" w:hAnsi="宋体" w:cs="宋体"/>
          <w:sz w:val="24"/>
          <w:highlight w:val="none"/>
        </w:rPr>
      </w:r>
      <w:r/>
    </w:p>
    <w:p>
      <w:pPr>
        <w:pStyle w:val="685"/>
        <w:ind w:left="567"/>
        <w:spacing w:line="440" w:lineRule="exact"/>
        <w:rPr>
          <w:rFonts w:hint="eastAsia" w:ascii="宋体" w:hAnsi="宋体" w:cs="宋体"/>
          <w:sz w:val="24"/>
          <w:highlight w:val="none"/>
        </w:rPr>
      </w:pPr>
      <w:r>
        <w:rPr>
          <w:rFonts w:hint="eastAsia" w:ascii="宋体" w:hAnsi="宋体" w:cs="宋体"/>
          <w:sz w:val="24"/>
          <w:highlight w:val="none"/>
        </w:rPr>
        <w:t xml:space="preserve">地址：南京市草场门大街107号            地址：</w:t>
      </w:r>
      <w:r>
        <w:rPr>
          <w:rFonts w:hint="eastAsia" w:ascii="宋体" w:hAnsi="宋体" w:cs="宋体"/>
          <w:sz w:val="24"/>
          <w:highlight w:val="none"/>
        </w:rPr>
      </w:r>
      <w:r/>
    </w:p>
    <w:p>
      <w:pPr>
        <w:pStyle w:val="685"/>
        <w:ind w:left="567"/>
        <w:spacing w:line="440" w:lineRule="exact"/>
        <w:rPr>
          <w:rFonts w:hint="eastAsia" w:ascii="宋体" w:hAnsi="宋体" w:cs="宋体"/>
          <w:sz w:val="24"/>
          <w:highlight w:val="none"/>
          <w:u w:val="single"/>
        </w:rPr>
      </w:pPr>
      <w:r>
        <w:rPr>
          <w:rFonts w:hint="eastAsia" w:ascii="宋体" w:hAnsi="宋体" w:cs="宋体"/>
          <w:sz w:val="24"/>
          <w:highlight w:val="none"/>
        </w:rPr>
        <w:t xml:space="preserve">法定（授权）代表人：                    法定（授权）代表人：</w:t>
      </w:r>
      <w:r>
        <w:rPr>
          <w:rFonts w:hint="eastAsia" w:ascii="宋体" w:hAnsi="宋体" w:cs="宋体"/>
          <w:sz w:val="24"/>
          <w:highlight w:val="none"/>
          <w:u w:val="single"/>
        </w:rPr>
      </w:r>
      <w:r/>
    </w:p>
    <w:p>
      <w:pPr>
        <w:pStyle w:val="685"/>
        <w:ind w:left="567" w:firstLine="960"/>
        <w:spacing w:line="440" w:lineRule="exact"/>
        <w:rPr>
          <w:rFonts w:hint="eastAsia" w:ascii="宋体" w:hAnsi="宋体" w:cs="宋体"/>
          <w:sz w:val="24"/>
          <w:highlight w:val="none"/>
        </w:rPr>
      </w:pPr>
      <w:r>
        <w:rPr>
          <w:rFonts w:hint="eastAsia" w:ascii="宋体" w:hAnsi="宋体" w:cs="宋体"/>
          <w:sz w:val="24"/>
          <w:highlight w:val="none"/>
        </w:rPr>
        <w:t xml:space="preserve">年   月   日                           年   月   日</w:t>
      </w:r>
      <w:r>
        <w:rPr>
          <w:rFonts w:hint="eastAsia" w:ascii="宋体" w:hAnsi="宋体" w:cs="宋体"/>
          <w:sz w:val="24"/>
          <w:highlight w:val="none"/>
        </w:rPr>
      </w:r>
      <w:r/>
    </w:p>
    <w:p>
      <w:pPr>
        <w:pStyle w:val="685"/>
        <w:ind w:right="480" w:firstLine="5400"/>
        <w:spacing w:line="440" w:lineRule="exact"/>
        <w:rPr>
          <w:rFonts w:hint="eastAsia" w:ascii="宋体" w:hAnsi="宋体" w:cs="宋体"/>
          <w:sz w:val="24"/>
          <w:highlight w:val="none"/>
        </w:rPr>
      </w:pPr>
      <w:r>
        <w:rPr>
          <w:rFonts w:hint="eastAsia" w:ascii="宋体" w:hAnsi="宋体" w:cs="宋体"/>
          <w:sz w:val="24"/>
          <w:highlight w:val="none"/>
        </w:rPr>
        <w:t xml:space="preserve">户名：</w:t>
      </w:r>
      <w:r>
        <w:rPr>
          <w:rFonts w:hint="eastAsia" w:ascii="宋体" w:hAnsi="宋体" w:cs="宋体"/>
          <w:sz w:val="24"/>
          <w:highlight w:val="none"/>
        </w:rPr>
      </w:r>
      <w:r/>
    </w:p>
    <w:p>
      <w:pPr>
        <w:pStyle w:val="685"/>
        <w:ind w:right="480"/>
        <w:jc w:val="center"/>
        <w:spacing w:line="440" w:lineRule="exact"/>
        <w:rPr>
          <w:rFonts w:hint="eastAsia" w:ascii="宋体" w:hAnsi="宋体" w:cs="宋体"/>
          <w:sz w:val="24"/>
          <w:highlight w:val="none"/>
        </w:rPr>
      </w:pPr>
      <w:r>
        <w:rPr>
          <w:rFonts w:hint="eastAsia" w:ascii="宋体" w:hAnsi="宋体" w:cs="宋体"/>
          <w:sz w:val="24"/>
          <w:highlight w:val="none"/>
        </w:rPr>
        <w:t xml:space="preserve">                           开户银行：</w:t>
      </w:r>
      <w:r>
        <w:rPr>
          <w:rFonts w:hint="eastAsia" w:ascii="宋体" w:hAnsi="宋体" w:cs="宋体"/>
          <w:sz w:val="24"/>
          <w:highlight w:val="none"/>
        </w:rPr>
      </w:r>
      <w:r/>
    </w:p>
    <w:p>
      <w:pPr>
        <w:pStyle w:val="685"/>
        <w:ind w:right="480" w:firstLine="5400"/>
        <w:spacing w:line="440" w:lineRule="exact"/>
        <w:shd w:val="clear" w:color="auto" w:fill="ffffff"/>
        <w:widowControl/>
        <w:rPr>
          <w:rFonts w:hint="eastAsia" w:ascii="宋体" w:hAnsi="宋体" w:cs="宋体"/>
          <w:sz w:val="24"/>
          <w:highlight w:val="none"/>
          <w:lang w:val="zh-CN"/>
        </w:rPr>
      </w:pPr>
      <w:r>
        <w:rPr>
          <w:rFonts w:hint="eastAsia" w:ascii="宋体" w:hAnsi="宋体" w:cs="宋体"/>
          <w:sz w:val="24"/>
          <w:highlight w:val="none"/>
        </w:rPr>
        <w:t xml:space="preserve">银行账号：</w:t>
      </w:r>
      <w:bookmarkStart w:id="472" w:name="_Toc45493478"/>
      <w:r/>
      <w:bookmarkEnd w:id="472"/>
      <w:r>
        <w:rPr>
          <w:rFonts w:hint="eastAsia" w:ascii="宋体" w:hAnsi="宋体" w:cs="宋体"/>
          <w:sz w:val="24"/>
          <w:highlight w:val="none"/>
          <w:lang w:val="zh-CN"/>
        </w:rPr>
      </w:r>
      <w:r/>
    </w:p>
    <w:p>
      <w:pPr>
        <w:pStyle w:val="686"/>
        <w:jc w:val="center"/>
        <w:rPr>
          <w:rFonts w:hint="eastAsia" w:ascii="华文中宋" w:hAnsi="华文中宋" w:eastAsia="华文中宋"/>
          <w:b/>
          <w:sz w:val="36"/>
          <w:szCs w:val="36"/>
          <w:highlight w:val="none"/>
        </w:rPr>
      </w:pPr>
      <w:r>
        <w:rPr>
          <w:rFonts w:ascii="Microsoft New Tai Lue" w:hAnsi="Microsoft New Tai Lue" w:cs="Microsoft New Tai Lue"/>
          <w:highlight w:val="none"/>
        </w:rPr>
        <w:br w:type="page" w:clear="all"/>
      </w:r>
      <w:bookmarkStart w:id="473" w:name="_Toc16724"/>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457"/>
      <w:r/>
      <w:bookmarkEnd w:id="458"/>
      <w:r/>
      <w:bookmarkEnd w:id="459"/>
      <w:r/>
      <w:bookmarkEnd w:id="460"/>
      <w:r/>
      <w:bookmarkEnd w:id="473"/>
      <w:r>
        <w:rPr>
          <w:rFonts w:hint="eastAsia" w:ascii="华文中宋" w:hAnsi="华文中宋" w:eastAsia="华文中宋"/>
          <w:b/>
          <w:sz w:val="36"/>
          <w:szCs w:val="36"/>
          <w:highlight w:val="none"/>
        </w:rPr>
      </w:r>
      <w:r/>
    </w:p>
    <w:p>
      <w:pPr>
        <w:pStyle w:val="685"/>
        <w:ind w:firstLine="525"/>
        <w:jc w:val="left"/>
        <w:spacing w:line="560" w:lineRule="exact"/>
        <w:rPr>
          <w:rFonts w:ascii="宋体" w:hAnsi="宋体"/>
          <w:b/>
          <w:sz w:val="28"/>
          <w:szCs w:val="28"/>
          <w:highlight w:val="none"/>
        </w:rPr>
      </w:pPr>
      <w:r/>
      <w:bookmarkStart w:id="474" w:name="_Toc12708982"/>
      <w:r/>
      <w:bookmarkStart w:id="475" w:name="_Toc9363436"/>
      <w:r/>
      <w:bookmarkStart w:id="476" w:name="_Toc12887273"/>
      <w:r/>
      <w:bookmarkStart w:id="477" w:name="_Toc8485122"/>
      <w:r/>
      <w:bookmarkStart w:id="478" w:name="_Toc49090575"/>
      <w:r/>
      <w:bookmarkStart w:id="479" w:name="_Toc120614281"/>
      <w:r/>
      <w:bookmarkStart w:id="480" w:name="_Toc26554093"/>
      <w:r>
        <w:rPr>
          <w:rFonts w:ascii="宋体" w:hAnsi="宋体"/>
          <w:b/>
          <w:sz w:val="28"/>
          <w:szCs w:val="28"/>
          <w:highlight w:val="none"/>
        </w:rPr>
        <w:t xml:space="preserve">一、项目概述</w:t>
      </w:r>
      <w:r>
        <w:rPr>
          <w:rFonts w:ascii="宋体" w:hAnsi="宋体"/>
          <w:b/>
          <w:sz w:val="28"/>
          <w:szCs w:val="28"/>
          <w:highlight w:val="none"/>
        </w:rPr>
      </w:r>
      <w:r/>
    </w:p>
    <w:p>
      <w:pPr>
        <w:pStyle w:val="685"/>
        <w:ind w:firstLine="525"/>
        <w:spacing w:line="560" w:lineRule="exact"/>
        <w:rPr>
          <w:rFonts w:ascii="宋体" w:hAnsi="宋体"/>
          <w:bCs/>
          <w:sz w:val="24"/>
          <w:highlight w:val="none"/>
        </w:rPr>
      </w:pPr>
      <w:r>
        <w:rPr>
          <w:rFonts w:ascii="宋体" w:hAnsi="宋体"/>
          <w:sz w:val="24"/>
          <w:highlight w:val="none"/>
        </w:rPr>
        <w:t xml:space="preserve">根据《国务院关于第三批清理规范国务院部门行政审批中介服务事项的决定》（国发﹝2017﹞8号）、《国家质检总局关于废止修订特种设备行政许可相关安全技术规范及文件的公告》（2017年第102号），以及江苏省财政厅</w:t>
      </w:r>
      <w:r>
        <w:rPr>
          <w:rFonts w:hint="eastAsia" w:ascii="宋体" w:hAnsi="宋体"/>
          <w:sz w:val="24"/>
          <w:highlight w:val="none"/>
        </w:rPr>
        <w:t xml:space="preserve">等四部门</w:t>
      </w:r>
      <w:r>
        <w:rPr>
          <w:rFonts w:ascii="宋体" w:hAnsi="宋体"/>
          <w:sz w:val="24"/>
          <w:highlight w:val="none"/>
        </w:rPr>
        <w:t xml:space="preserve">联合印发的《关于清理规范涉企经营服务性收费的通知》（苏价服﹝2017﹞98号）要求，江苏省市场监督管理局特种设备行政许可鉴定评审方式由申请人约请鉴定评审改为审批机关委托有关技术服务机构开展。</w:t>
      </w:r>
      <w:r>
        <w:rPr>
          <w:rFonts w:ascii="宋体" w:hAnsi="宋体"/>
          <w:bCs/>
          <w:sz w:val="24"/>
          <w:highlight w:val="none"/>
        </w:rPr>
      </w:r>
      <w:r/>
    </w:p>
    <w:p>
      <w:pPr>
        <w:pStyle w:val="685"/>
        <w:ind w:firstLine="525"/>
        <w:spacing w:line="560" w:lineRule="exact"/>
        <w:rPr>
          <w:rFonts w:ascii="宋体" w:hAnsi="宋体"/>
          <w:sz w:val="24"/>
          <w:highlight w:val="none"/>
        </w:rPr>
      </w:pPr>
      <w:r>
        <w:rPr>
          <w:rFonts w:hint="eastAsia" w:ascii="宋体" w:hAnsi="宋体"/>
          <w:sz w:val="24"/>
          <w:highlight w:val="none"/>
        </w:rPr>
        <w:t xml:space="preserve">鉴定评审对象包括特种设备生产单位（设计、制造、安装、改造、修理）、移动式压力容器气瓶充装单位、特种设备检验检测机构3大类。鉴定评审机构依据《江苏省市场监督管理局特种设备行政许可鉴定评审管理办法》《特种设备生产和充装单位许可规则》《特种设备检测机构核准规则》《特种设备检验机构</w:t>
      </w:r>
      <w:r>
        <w:rPr>
          <w:rFonts w:hint="eastAsia" w:ascii="宋体" w:hAnsi="宋体"/>
          <w:sz w:val="24"/>
          <w:highlight w:val="none"/>
        </w:rPr>
        <w:t xml:space="preserve">核准规则》等规定，原则上派出2至3名评审人员赴现场，评审项目、制造地址、充装地址超过2个以上的，可以相应增加鉴定评审人员。一般利用2至3个工作日（特殊情况可延长1-2日），通过召开会议、现场巡视、资料审查、考核评估等方式，对企业资源条件、质量保证体系、产品安全性能保障能力（检验检测质量）是否符合许可条件进行评审确认，对发现的问题提出整改意见。在收到委托后1年内向江苏省市场监督管理局提交鉴定评审报告（其中检验检测机构核准为60个工作日、A级锅炉安装为2年内完成），江苏省市场监督管理局据此作出是否准予许可决定。</w:t>
      </w:r>
      <w:r>
        <w:rPr>
          <w:rFonts w:ascii="宋体" w:hAnsi="宋体"/>
          <w:sz w:val="24"/>
          <w:highlight w:val="none"/>
        </w:rPr>
      </w:r>
      <w:r/>
    </w:p>
    <w:p>
      <w:pPr>
        <w:pStyle w:val="685"/>
        <w:ind w:firstLine="525"/>
        <w:jc w:val="left"/>
        <w:spacing w:line="560" w:lineRule="exact"/>
        <w:rPr>
          <w:rFonts w:ascii="宋体" w:hAnsi="宋体"/>
          <w:b/>
          <w:sz w:val="28"/>
          <w:szCs w:val="28"/>
          <w:highlight w:val="none"/>
        </w:rPr>
      </w:pPr>
      <w:r>
        <w:rPr>
          <w:rFonts w:ascii="宋体" w:hAnsi="宋体"/>
          <w:b/>
          <w:sz w:val="28"/>
          <w:szCs w:val="28"/>
          <w:highlight w:val="none"/>
        </w:rPr>
        <w:t xml:space="preserve">二、采购项目</w:t>
      </w:r>
      <w:r>
        <w:rPr>
          <w:rFonts w:ascii="宋体" w:hAnsi="宋体"/>
          <w:b/>
          <w:sz w:val="28"/>
          <w:szCs w:val="28"/>
          <w:highlight w:val="none"/>
        </w:rPr>
      </w:r>
      <w:r/>
    </w:p>
    <w:p>
      <w:pPr>
        <w:pStyle w:val="685"/>
        <w:ind w:firstLine="525"/>
        <w:jc w:val="left"/>
        <w:spacing w:line="560" w:lineRule="exact"/>
        <w:rPr>
          <w:rFonts w:ascii="宋体" w:hAnsi="宋体"/>
          <w:bCs/>
          <w:sz w:val="24"/>
          <w:highlight w:val="none"/>
        </w:rPr>
      </w:pPr>
      <w:r>
        <w:rPr>
          <w:rFonts w:ascii="宋体" w:hAnsi="宋体"/>
          <w:sz w:val="24"/>
          <w:highlight w:val="none"/>
        </w:rPr>
        <w:t xml:space="preserve">按照《特种设备安全法》《特种设备安全监察条例》《市场监管总局关于特种设备行政许可有关事项的公告》（国家市场监管总局20</w:t>
      </w:r>
      <w:r>
        <w:rPr>
          <w:rFonts w:hint="eastAsia" w:ascii="宋体" w:hAnsi="宋体"/>
          <w:sz w:val="24"/>
          <w:highlight w:val="none"/>
        </w:rPr>
        <w:t xml:space="preserve">21</w:t>
      </w:r>
      <w:r>
        <w:rPr>
          <w:rFonts w:ascii="宋体" w:hAnsi="宋体"/>
          <w:sz w:val="24"/>
          <w:highlight w:val="none"/>
        </w:rPr>
        <w:t xml:space="preserve">年第</w:t>
      </w:r>
      <w:r>
        <w:rPr>
          <w:rFonts w:hint="eastAsia" w:ascii="宋体" w:hAnsi="宋体"/>
          <w:sz w:val="24"/>
          <w:highlight w:val="none"/>
        </w:rPr>
        <w:t xml:space="preserve">41</w:t>
      </w:r>
      <w:r>
        <w:rPr>
          <w:rFonts w:ascii="宋体" w:hAnsi="宋体"/>
          <w:sz w:val="24"/>
          <w:highlight w:val="none"/>
        </w:rPr>
        <w:t xml:space="preserve">号）《特种设备生产和充装单位许可规则》</w:t>
      </w:r>
      <w:r>
        <w:rPr>
          <w:rFonts w:hint="eastAsia" w:ascii="宋体" w:hAnsi="宋体"/>
          <w:sz w:val="24"/>
          <w:highlight w:val="none"/>
        </w:rPr>
        <w:t xml:space="preserve">（及其1、2号修改单）</w:t>
      </w:r>
      <w:r>
        <w:rPr>
          <w:rFonts w:ascii="宋体" w:hAnsi="宋体"/>
          <w:sz w:val="24"/>
          <w:highlight w:val="none"/>
        </w:rPr>
        <w:t xml:space="preserve">《特种设备检验机构核准规则》</w:t>
      </w:r>
      <w:r>
        <w:rPr>
          <w:rFonts w:hint="eastAsia" w:ascii="宋体" w:hAnsi="宋体"/>
          <w:sz w:val="24"/>
          <w:highlight w:val="none"/>
        </w:rPr>
        <w:t xml:space="preserve">（及其1号修改单）《特种设备检测机构核准规则》</w:t>
      </w:r>
      <w:r>
        <w:rPr>
          <w:rFonts w:ascii="宋体" w:hAnsi="宋体"/>
          <w:sz w:val="24"/>
          <w:highlight w:val="none"/>
        </w:rPr>
        <w:t xml:space="preserve">《江苏省市场监督管理局特种设备行政许可鉴定评审</w:t>
      </w:r>
      <w:r>
        <w:rPr>
          <w:rFonts w:hint="eastAsia" w:ascii="宋体" w:hAnsi="宋体"/>
          <w:sz w:val="24"/>
          <w:highlight w:val="none"/>
        </w:rPr>
        <w:t xml:space="preserve">管理</w:t>
      </w:r>
      <w:r>
        <w:rPr>
          <w:rFonts w:ascii="宋体" w:hAnsi="宋体"/>
          <w:sz w:val="24"/>
          <w:highlight w:val="none"/>
        </w:rPr>
        <w:t xml:space="preserve">办法》</w:t>
      </w:r>
      <w:r>
        <w:rPr>
          <w:rFonts w:hint="eastAsia" w:ascii="宋体" w:hAnsi="宋体"/>
          <w:sz w:val="24"/>
          <w:highlight w:val="none"/>
        </w:rPr>
        <w:t xml:space="preserve">（苏市监规〔2024〕6号）</w:t>
      </w:r>
      <w:r>
        <w:rPr>
          <w:rFonts w:ascii="宋体" w:hAnsi="宋体"/>
          <w:sz w:val="24"/>
          <w:highlight w:val="none"/>
        </w:rPr>
        <w:t xml:space="preserve">以及特种设备行政许可有关法律法规、安全技术规范和标准的规定，</w:t>
      </w:r>
      <w:r>
        <w:rPr>
          <w:rFonts w:hint="eastAsia" w:ascii="宋体" w:hAnsi="宋体"/>
          <w:sz w:val="24"/>
          <w:highlight w:val="none"/>
        </w:rPr>
        <w:t xml:space="preserve">江苏省市场监督管理局组织</w:t>
      </w:r>
      <w:r>
        <w:rPr>
          <w:rFonts w:ascii="宋体" w:hAnsi="宋体"/>
          <w:sz w:val="24"/>
          <w:highlight w:val="none"/>
        </w:rPr>
        <w:t xml:space="preserve">采购特种设备行政许可鉴定评审技术服务。</w:t>
      </w:r>
      <w:r>
        <w:rPr>
          <w:rFonts w:ascii="宋体" w:hAnsi="宋体"/>
          <w:bCs/>
          <w:sz w:val="24"/>
          <w:highlight w:val="none"/>
        </w:rPr>
      </w:r>
      <w:r/>
    </w:p>
    <w:p>
      <w:pPr>
        <w:pStyle w:val="685"/>
        <w:ind w:firstLine="525"/>
        <w:jc w:val="left"/>
        <w:spacing w:line="560" w:lineRule="exact"/>
        <w:rPr>
          <w:rFonts w:ascii="宋体" w:hAnsi="宋体"/>
          <w:sz w:val="24"/>
          <w:highlight w:val="none"/>
        </w:rPr>
      </w:pPr>
      <w:r>
        <w:rPr>
          <w:rFonts w:hint="eastAsia" w:ascii="宋体" w:hAnsi="宋体"/>
          <w:sz w:val="24"/>
          <w:highlight w:val="none"/>
        </w:rPr>
        <w:t xml:space="preserve">本次采购服务期自2026年6月1日至2028年5月31日，中标供应商需按要求完成江苏省市场监督管理局在此期间委派的全部鉴定评审任务。</w:t>
      </w:r>
      <w:r>
        <w:rPr>
          <w:rFonts w:ascii="宋体" w:hAnsi="宋体"/>
          <w:sz w:val="24"/>
          <w:highlight w:val="none"/>
        </w:rPr>
        <w:t xml:space="preserve">总项目预算为</w:t>
      </w:r>
      <w:r>
        <w:rPr>
          <w:rFonts w:hint="eastAsia" w:ascii="宋体" w:hAnsi="宋体"/>
          <w:sz w:val="24"/>
          <w:highlight w:val="none"/>
        </w:rPr>
        <w:t xml:space="preserve">3780</w:t>
      </w:r>
      <w:r>
        <w:rPr>
          <w:rFonts w:ascii="宋体" w:hAnsi="宋体"/>
          <w:sz w:val="24"/>
          <w:highlight w:val="none"/>
        </w:rPr>
        <w:t xml:space="preserve">万元，</w:t>
      </w:r>
      <w:r>
        <w:rPr>
          <w:rFonts w:hint="eastAsia" w:ascii="宋体" w:hAnsi="宋体"/>
          <w:sz w:val="24"/>
          <w:highlight w:val="none"/>
        </w:rPr>
        <w:t xml:space="preserve">拟分为5个包，</w:t>
      </w:r>
      <w:r>
        <w:rPr>
          <w:rFonts w:ascii="宋体" w:hAnsi="宋体"/>
          <w:sz w:val="24"/>
          <w:highlight w:val="none"/>
        </w:rPr>
        <w:t xml:space="preserve">具体包组项目内容</w:t>
      </w:r>
      <w:r>
        <w:rPr>
          <w:rFonts w:hint="eastAsia" w:ascii="宋体" w:hAnsi="宋体"/>
          <w:sz w:val="24"/>
          <w:highlight w:val="none"/>
        </w:rPr>
        <w:t xml:space="preserve">、金额等信息见下表</w:t>
      </w:r>
      <w:r>
        <w:rPr>
          <w:rFonts w:ascii="宋体" w:hAnsi="宋体"/>
          <w:sz w:val="24"/>
          <w:highlight w:val="none"/>
        </w:rPr>
        <w:t xml:space="preserve">：</w:t>
      </w:r>
      <w:r>
        <w:rPr>
          <w:rFonts w:ascii="宋体" w:hAnsi="宋体"/>
          <w:sz w:val="24"/>
          <w:highlight w:val="none"/>
        </w:rPr>
      </w:r>
      <w:r/>
    </w:p>
    <w:p>
      <w:pPr>
        <w:pStyle w:val="721"/>
        <w:rPr>
          <w:highlight w:val="none"/>
        </w:rPr>
      </w:pP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4221"/>
        <w:gridCol w:w="1107"/>
        <w:gridCol w:w="1109"/>
        <w:gridCol w:w="1108"/>
        <w:gridCol w:w="1110"/>
      </w:tblGrid>
      <w:tr>
        <w:trPr>
          <w:trHeight w:val="554"/>
        </w:trPr>
        <w:tc>
          <w:tcPr>
            <w:tcW w:w="397"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245"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项目内容</w:t>
            </w:r>
            <w:r>
              <w:rPr>
                <w:rFonts w:hint="eastAsia" w:ascii="宋体" w:hAnsi="宋体" w:cs="宋体"/>
                <w:b/>
                <w:bCs/>
                <w:szCs w:val="21"/>
                <w:highlight w:val="none"/>
              </w:rPr>
            </w:r>
            <w:r/>
          </w:p>
        </w:tc>
        <w:tc>
          <w:tcPr>
            <w:tcW w:w="5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预计服务期内任务数（家）</w:t>
            </w:r>
            <w:r>
              <w:rPr>
                <w:rFonts w:hint="eastAsia" w:ascii="宋体" w:hAnsi="宋体" w:cs="宋体"/>
                <w:b/>
                <w:bCs/>
                <w:szCs w:val="21"/>
                <w:highlight w:val="none"/>
              </w:rPr>
            </w:r>
            <w:r/>
          </w:p>
        </w:tc>
        <w:tc>
          <w:tcPr>
            <w:tcW w:w="590"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采购包</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总价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（万元）</w:t>
            </w:r>
            <w:r>
              <w:rPr>
                <w:rFonts w:hint="eastAsia" w:ascii="宋体" w:hAnsi="宋体" w:cs="宋体"/>
                <w:b/>
                <w:bCs/>
                <w:szCs w:val="21"/>
                <w:highlight w:val="none"/>
              </w:rPr>
            </w:r>
            <w:r/>
          </w:p>
        </w:tc>
        <w:tc>
          <w:tcPr>
            <w:tcW w:w="5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单价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最高限价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（元/家）</w:t>
            </w:r>
            <w:r>
              <w:rPr>
                <w:rFonts w:hint="eastAsia" w:ascii="宋体" w:hAnsi="宋体" w:cs="宋体"/>
                <w:b/>
                <w:bCs/>
                <w:szCs w:val="21"/>
                <w:highlight w:val="none"/>
              </w:rPr>
            </w:r>
            <w:r/>
          </w:p>
        </w:tc>
        <w:tc>
          <w:tcPr>
            <w:tcW w:w="590"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是否接受联合体投标</w:t>
            </w:r>
            <w:r>
              <w:rPr>
                <w:rFonts w:hint="eastAsia" w:ascii="宋体" w:hAnsi="宋体" w:cs="宋体"/>
                <w:b/>
                <w:bCs/>
                <w:szCs w:val="21"/>
                <w:highlight w:val="none"/>
              </w:rPr>
            </w:r>
            <w:r/>
          </w:p>
        </w:tc>
      </w:tr>
      <w:tr>
        <w:trPr>
          <w:trHeight w:val="1451"/>
        </w:trPr>
        <w:tc>
          <w:tcPr>
            <w:tcW w:w="397"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包1</w:t>
            </w:r>
            <w:r>
              <w:rPr>
                <w:rFonts w:hint="eastAsia" w:ascii="宋体" w:hAnsi="宋体" w:cs="宋体"/>
                <w:bCs/>
                <w:szCs w:val="21"/>
                <w:highlight w:val="none"/>
              </w:rPr>
            </w:r>
            <w:r/>
          </w:p>
        </w:tc>
        <w:tc>
          <w:tcPr>
            <w:tcW w:w="2245"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承压类特种设备（锅炉、压力容器（不含气瓶）、压力管道、安全附件（不含气瓶阀门））生产单位（不涉及设计）许可鉴定评审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1955</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1524.9</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1379"/>
        </w:trPr>
        <w:tc>
          <w:tcPr>
            <w:tcW w:w="397"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包2</w:t>
            </w:r>
            <w:r>
              <w:rPr>
                <w:rFonts w:hint="eastAsia" w:ascii="宋体" w:hAnsi="宋体" w:cs="宋体"/>
                <w:bCs/>
                <w:szCs w:val="21"/>
                <w:highlight w:val="none"/>
              </w:rPr>
            </w:r>
            <w:r/>
          </w:p>
        </w:tc>
        <w:tc>
          <w:tcPr>
            <w:tcW w:w="2245"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机电类特种设备（起重机械、场（厂）内专用机动车辆、客运索道、电梯（仅安装、修理）、大型游乐设施（仅安装、修理））生产单位许可鉴定评审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1620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1263.6</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714"/>
        </w:trPr>
        <w:tc>
          <w:tcPr>
            <w:tcW w:w="397"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包3</w:t>
            </w:r>
            <w:r>
              <w:rPr>
                <w:rFonts w:hint="eastAsia" w:ascii="宋体" w:hAnsi="宋体" w:cs="宋体"/>
                <w:bCs/>
                <w:szCs w:val="21"/>
                <w:highlight w:val="none"/>
              </w:rPr>
            </w:r>
            <w:r/>
          </w:p>
        </w:tc>
        <w:tc>
          <w:tcPr>
            <w:tcW w:w="2245"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移动式压力容器、气瓶充装单位许可鉴定评审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640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499.2</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702"/>
        </w:trPr>
        <w:tc>
          <w:tcPr>
            <w:tcW w:w="397"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包4</w:t>
            </w:r>
            <w:r>
              <w:rPr>
                <w:rFonts w:hint="eastAsia" w:ascii="宋体" w:hAnsi="宋体" w:cs="宋体"/>
                <w:bCs/>
                <w:szCs w:val="21"/>
                <w:highlight w:val="none"/>
              </w:rPr>
            </w:r>
            <w:r/>
          </w:p>
        </w:tc>
        <w:tc>
          <w:tcPr>
            <w:tcW w:w="2245"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压力容器设计（含具有设计能力压力容器制造）、压力管道设计单位许可鉴定评审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309</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216.3</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7000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否</w:t>
            </w:r>
            <w:r>
              <w:rPr>
                <w:rFonts w:hint="eastAsia" w:ascii="宋体" w:hAnsi="宋体" w:cs="宋体"/>
                <w:color w:val="000000"/>
                <w:sz w:val="24"/>
                <w:highlight w:val="none"/>
              </w:rPr>
            </w:r>
            <w:r/>
          </w:p>
        </w:tc>
      </w:tr>
      <w:tr>
        <w:trPr>
          <w:trHeight w:val="702"/>
        </w:trPr>
        <w:tc>
          <w:tcPr>
            <w:tcW w:w="397"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包5</w:t>
            </w:r>
            <w:r>
              <w:rPr>
                <w:rFonts w:hint="eastAsia" w:ascii="宋体" w:hAnsi="宋体" w:cs="宋体"/>
                <w:bCs/>
                <w:szCs w:val="21"/>
                <w:highlight w:val="none"/>
              </w:rPr>
            </w:r>
            <w:r/>
          </w:p>
        </w:tc>
        <w:tc>
          <w:tcPr>
            <w:tcW w:w="2245"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特种设备检验检测机构核准鉴定评审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345</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276</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8000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否</w:t>
            </w:r>
            <w:r>
              <w:rPr>
                <w:rFonts w:hint="eastAsia" w:ascii="宋体" w:hAnsi="宋体" w:cs="宋体"/>
                <w:color w:val="000000"/>
                <w:sz w:val="24"/>
                <w:highlight w:val="none"/>
              </w:rPr>
            </w:r>
            <w:r/>
          </w:p>
        </w:tc>
      </w:tr>
      <w:tr>
        <w:trPr>
          <w:trHeight w:val="544"/>
        </w:trPr>
        <w:tc>
          <w:tcPr>
            <w:gridSpan w:val="2"/>
            <w:tcW w:w="4967"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4869</w:t>
            </w:r>
            <w:r>
              <w:rPr>
                <w:rFonts w:hint="eastAsia" w:ascii="宋体" w:hAnsi="宋体" w:cs="宋体"/>
                <w:bCs/>
                <w:szCs w:val="21"/>
                <w:highlight w:val="none"/>
              </w:rPr>
            </w:r>
            <w:r/>
          </w:p>
        </w:tc>
        <w:tc>
          <w:tcPr>
            <w:tcW w:w="590"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3780</w:t>
            </w:r>
            <w:r>
              <w:rPr>
                <w:rFonts w:hint="eastAsia"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c>
          <w:tcPr>
            <w:tcW w:w="590"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r>
      <w:tr>
        <w:trPr>
          <w:trHeight w:val="566"/>
        </w:trPr>
        <w:tc>
          <w:tcPr>
            <w:gridSpan w:val="6"/>
            <w:tcW w:w="9401" w:type="dxa"/>
            <w:vAlign w:val="center"/>
            <w:textDirection w:val="lrTb"/>
            <w:noWrap w:val="false"/>
          </w:tcPr>
          <w:p>
            <w:pPr>
              <w:pStyle w:val="685"/>
              <w:ind w:firstLine="422"/>
              <w:rPr>
                <w:rFonts w:hint="eastAsia" w:ascii="宋体" w:hAnsi="宋体" w:cs="宋体"/>
                <w:b/>
                <w:szCs w:val="21"/>
                <w:highlight w:val="none"/>
              </w:rPr>
            </w:pPr>
            <w:r>
              <w:rPr>
                <w:rFonts w:hint="eastAsia" w:ascii="宋体" w:hAnsi="宋体" w:cs="宋体"/>
                <w:b/>
                <w:szCs w:val="21"/>
                <w:highlight w:val="none"/>
              </w:rPr>
              <w:t xml:space="preserve">注：接受联合体投标的分包，联合体成员数量不得超过3家</w:t>
            </w:r>
            <w:r>
              <w:rPr>
                <w:rFonts w:hint="eastAsia" w:ascii="宋体" w:hAnsi="宋体" w:cs="宋体"/>
                <w:b/>
                <w:szCs w:val="21"/>
                <w:highlight w:val="none"/>
              </w:rPr>
            </w:r>
            <w:r/>
          </w:p>
        </w:tc>
      </w:tr>
    </w:tbl>
    <w:p>
      <w:pPr>
        <w:pStyle w:val="685"/>
        <w:ind w:firstLine="420"/>
        <w:jc w:val="center"/>
        <w:spacing w:line="560" w:lineRule="exact"/>
        <w:rPr>
          <w:rFonts w:hint="eastAsia" w:ascii="宋体" w:hAnsi="宋体" w:cs="宋体"/>
          <w:sz w:val="24"/>
          <w:highlight w:val="none"/>
        </w:rPr>
      </w:pPr>
      <w:r>
        <w:rPr>
          <w:rFonts w:hint="eastAsia" w:ascii="宋体" w:hAnsi="宋体" w:cs="宋体"/>
          <w:sz w:val="24"/>
          <w:highlight w:val="none"/>
        </w:rPr>
        <w:t xml:space="preserve">表1  分包项目信息</w:t>
      </w:r>
      <w:r>
        <w:rPr>
          <w:rFonts w:hint="eastAsia" w:ascii="宋体" w:hAnsi="宋体" w:cs="宋体"/>
          <w:sz w:val="24"/>
          <w:highlight w:val="none"/>
        </w:rPr>
      </w:r>
      <w:r/>
    </w:p>
    <w:p>
      <w:pPr>
        <w:pStyle w:val="685"/>
        <w:ind w:firstLine="482"/>
        <w:spacing w:line="560" w:lineRule="exact"/>
        <w:rPr>
          <w:rFonts w:hint="eastAsia" w:ascii="宋体" w:hAnsi="宋体" w:cs="宋体"/>
          <w:b/>
          <w:bCs/>
          <w:sz w:val="24"/>
          <w:highlight w:val="none"/>
        </w:rPr>
      </w:pPr>
      <w:r>
        <w:rPr>
          <w:rFonts w:hint="eastAsia" w:ascii="宋体" w:hAnsi="宋体" w:cs="宋体"/>
          <w:b/>
          <w:bCs/>
          <w:sz w:val="24"/>
          <w:highlight w:val="none"/>
        </w:rPr>
        <w:t xml:space="preserve">有关说明：</w:t>
      </w:r>
      <w:r>
        <w:rPr>
          <w:rFonts w:hint="eastAsia" w:ascii="宋体" w:hAnsi="宋体" w:cs="宋体"/>
          <w:b/>
          <w:bCs/>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 江苏省市场监督管理局</w:t>
      </w:r>
      <w:r>
        <w:rPr>
          <w:rFonts w:hint="eastAsia" w:ascii="宋体" w:hAnsi="宋体" w:cs="宋体"/>
          <w:sz w:val="24"/>
          <w:highlight w:val="none"/>
        </w:rPr>
        <w:t xml:space="preserve">按中标范围委托鉴定评审任务。考虑财政经费调整、以及行政许可申请人数量的不确定性，预计任务数量根据当前各项目评审数量占比，参考已委托数量估算服务期（两年）内评审数量，供测算各包预算金额和供应商投标参考。</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2.特种设备生产单位许可鉴定评审对象为《特种设备生产单位许可目录》（《市场监管总局关于特种设备行政许可有关事项的公告》（国家市场监管总局2021年第41号））中“总局授权省级市场监管部门实施或由省级市场监管部门实施的子项目”的行政许可申请单位。</w:t>
      </w:r>
      <w:r>
        <w:rPr>
          <w:rFonts w:hint="eastAsia" w:ascii="宋体" w:hAnsi="宋体" w:cs="宋体"/>
          <w:sz w:val="24"/>
          <w:highlight w:val="none"/>
        </w:rPr>
      </w:r>
      <w:r/>
    </w:p>
    <w:p>
      <w:pPr>
        <w:pStyle w:val="685"/>
        <w:ind w:firstLine="420"/>
        <w:spacing w:line="560" w:lineRule="exact"/>
        <w:rPr>
          <w:rFonts w:hint="eastAsia" w:ascii="宋体" w:hAnsi="宋体" w:cs="宋体"/>
          <w:color w:val="111111"/>
          <w:sz w:val="24"/>
          <w:highlight w:val="none"/>
        </w:rPr>
      </w:pPr>
      <w:r/>
      <w:bookmarkStart w:id="481" w:name="_Hlk165218452"/>
      <w:r>
        <w:rPr>
          <w:rFonts w:hint="eastAsia" w:ascii="宋体" w:hAnsi="宋体" w:cs="宋体"/>
          <w:b/>
          <w:bCs/>
          <w:sz w:val="24"/>
          <w:highlight w:val="none"/>
        </w:rPr>
        <w:t xml:space="preserve">3.包1、2、3</w:t>
      </w:r>
      <w:r>
        <w:rPr>
          <w:rFonts w:hint="eastAsia" w:ascii="宋体" w:hAnsi="宋体" w:cs="宋体"/>
          <w:b/>
          <w:bCs/>
          <w:color w:val="111111"/>
          <w:sz w:val="24"/>
          <w:highlight w:val="none"/>
        </w:rPr>
        <w:t xml:space="preserve">评审任务量大、项目品类复杂，接受</w:t>
      </w:r>
      <w:r>
        <w:rPr>
          <w:rFonts w:hint="eastAsia" w:ascii="宋体" w:hAnsi="宋体" w:cs="宋体"/>
          <w:b/>
          <w:bCs/>
          <w:sz w:val="24"/>
          <w:highlight w:val="none"/>
        </w:rPr>
        <w:t xml:space="preserve">联合体投标。</w:t>
      </w:r>
      <w:r>
        <w:rPr>
          <w:rFonts w:hint="eastAsia" w:ascii="宋体" w:hAnsi="宋体" w:cs="宋体"/>
          <w:b/>
          <w:bCs/>
          <w:color w:val="111111"/>
          <w:sz w:val="24"/>
          <w:highlight w:val="none"/>
        </w:rPr>
        <w:t xml:space="preserve">联合体成员数量不得超过3家技术机构，以一个供应商身份参加投标。</w:t>
      </w:r>
      <w:r>
        <w:rPr>
          <w:rFonts w:hint="eastAsia" w:ascii="宋体" w:hAnsi="宋体" w:cs="宋体"/>
          <w:sz w:val="24"/>
          <w:highlight w:val="none"/>
        </w:rPr>
        <w:t xml:space="preserve">联合体投标需满足国家关于联合体投标的规定和本项目要求。</w:t>
      </w:r>
      <w:r>
        <w:rPr>
          <w:rFonts w:hint="eastAsia" w:ascii="宋体" w:hAnsi="宋体" w:cs="宋体"/>
          <w:color w:val="111111"/>
          <w:sz w:val="24"/>
          <w:highlight w:val="none"/>
        </w:rPr>
        <w:t xml:space="preserve">联合体内各方之间签订协议，明确各成员责任、评审任务分配方案，同投标文件一并提交。</w:t>
      </w:r>
      <w:bookmarkEnd w:id="481"/>
      <w:r>
        <w:rPr>
          <w:rFonts w:hint="eastAsia" w:ascii="宋体" w:hAnsi="宋体" w:cs="宋体"/>
          <w:color w:val="111111"/>
          <w:sz w:val="24"/>
          <w:highlight w:val="none"/>
        </w:rPr>
      </w:r>
      <w:r/>
    </w:p>
    <w:p>
      <w:pPr>
        <w:pStyle w:val="685"/>
        <w:ind w:firstLine="422"/>
        <w:spacing w:line="560" w:lineRule="exact"/>
        <w:rPr>
          <w:rFonts w:hint="eastAsia" w:ascii="宋体" w:hAnsi="宋体" w:cs="宋体"/>
          <w:b/>
          <w:bCs/>
          <w:color w:val="111111"/>
          <w:sz w:val="24"/>
          <w:highlight w:val="none"/>
        </w:rPr>
      </w:pPr>
      <w:r>
        <w:rPr>
          <w:rFonts w:hint="eastAsia" w:ascii="宋体" w:hAnsi="宋体" w:cs="宋体"/>
          <w:b/>
          <w:bCs/>
          <w:color w:val="111111"/>
          <w:sz w:val="24"/>
          <w:highlight w:val="none"/>
        </w:rPr>
        <w:t xml:space="preserve">4.</w:t>
      </w:r>
      <w:bookmarkStart w:id="482" w:name="_Hlk165215853"/>
      <w:r>
        <w:rPr>
          <w:rFonts w:hint="eastAsia" w:ascii="宋体" w:hAnsi="宋体" w:cs="宋体"/>
          <w:b/>
          <w:bCs/>
          <w:sz w:val="24"/>
          <w:highlight w:val="none"/>
        </w:rPr>
        <w:t xml:space="preserve">联合体成员应按照许可类别、许可项目、许可子项目、许可产品、许可参数级别、项目所属区域或受理委托函编号序号等分类方式进行分工，以明确委派的许可评审任务由哪个联合体成员承担。</w:t>
      </w:r>
      <w:bookmarkEnd w:id="482"/>
      <w:r>
        <w:rPr>
          <w:rFonts w:hint="eastAsia" w:ascii="宋体" w:hAnsi="宋体" w:cs="宋体"/>
          <w:b/>
          <w:bCs/>
          <w:color w:val="111111"/>
          <w:sz w:val="24"/>
          <w:highlight w:val="none"/>
        </w:rPr>
      </w:r>
      <w:r/>
    </w:p>
    <w:p>
      <w:pPr>
        <w:pStyle w:val="685"/>
        <w:ind w:firstLine="420"/>
        <w:spacing w:line="560" w:lineRule="exact"/>
        <w:rPr>
          <w:rFonts w:hint="eastAsia" w:ascii="宋体" w:hAnsi="宋体" w:cs="宋体"/>
          <w:b/>
          <w:bCs/>
          <w:color w:val="111111"/>
          <w:sz w:val="24"/>
          <w:highlight w:val="none"/>
        </w:rPr>
      </w:pPr>
      <w:r>
        <w:rPr>
          <w:rFonts w:hint="eastAsia" w:ascii="宋体" w:hAnsi="宋体" w:cs="宋体"/>
          <w:b/>
          <w:bCs/>
          <w:color w:val="111111"/>
          <w:sz w:val="24"/>
          <w:highlight w:val="none"/>
        </w:rPr>
        <w:t xml:space="preserve">5.供应商按单个评审对象技术服务费用开展报价。</w:t>
      </w:r>
      <w:r>
        <w:rPr>
          <w:rFonts w:hint="eastAsia" w:ascii="宋体" w:hAnsi="宋体" w:cs="宋体"/>
          <w:b/>
          <w:bCs/>
          <w:color w:val="111111"/>
          <w:sz w:val="24"/>
          <w:highlight w:val="none"/>
        </w:rPr>
      </w:r>
      <w:r/>
    </w:p>
    <w:p>
      <w:pPr>
        <w:pStyle w:val="685"/>
        <w:ind w:firstLine="420"/>
        <w:spacing w:line="560" w:lineRule="exact"/>
        <w:rPr>
          <w:rFonts w:ascii="宋体" w:hAnsi="宋体" w:cs="宋体"/>
          <w:sz w:val="24"/>
          <w:highlight w:val="none"/>
        </w:rPr>
      </w:pPr>
      <w:r>
        <w:rPr>
          <w:rFonts w:hint="eastAsia" w:ascii="宋体" w:hAnsi="宋体" w:cs="宋体"/>
          <w:sz w:val="24"/>
          <w:highlight w:val="none"/>
        </w:rPr>
        <w:t xml:space="preserve">6.包4、5鉴于其特殊性、专业性，供应商应具备充足的专业能力及工作经验。</w:t>
      </w:r>
      <w:r>
        <w:rPr>
          <w:rFonts w:ascii="宋体" w:hAnsi="宋体" w:cs="宋体"/>
          <w:sz w:val="24"/>
          <w:highlight w:val="none"/>
        </w:rPr>
      </w:r>
      <w:r/>
    </w:p>
    <w:p>
      <w:pPr>
        <w:pStyle w:val="685"/>
        <w:ind w:firstLine="420"/>
        <w:jc w:val="left"/>
        <w:spacing w:line="560" w:lineRule="exact"/>
        <w:rPr>
          <w:rFonts w:hint="eastAsia" w:ascii="宋体" w:hAnsi="宋体" w:cs="宋体"/>
          <w:b/>
          <w:sz w:val="28"/>
          <w:szCs w:val="28"/>
          <w:highlight w:val="none"/>
        </w:rPr>
      </w:pPr>
      <w:r>
        <w:rPr>
          <w:rFonts w:hint="eastAsia" w:ascii="宋体" w:hAnsi="宋体" w:cs="宋体"/>
          <w:b/>
          <w:sz w:val="28"/>
          <w:szCs w:val="28"/>
          <w:highlight w:val="none"/>
        </w:rPr>
        <w:t xml:space="preserve">三、服务价格及结算</w:t>
      </w:r>
      <w:r>
        <w:rPr>
          <w:rFonts w:hint="eastAsia" w:ascii="宋体" w:hAnsi="宋体" w:cs="宋体"/>
          <w:b/>
          <w:sz w:val="28"/>
          <w:szCs w:val="28"/>
          <w:highlight w:val="none"/>
        </w:rPr>
      </w:r>
      <w:r/>
    </w:p>
    <w:p>
      <w:pPr>
        <w:pStyle w:val="685"/>
        <w:ind w:firstLine="420"/>
        <w:jc w:val="left"/>
        <w:spacing w:line="560" w:lineRule="exact"/>
        <w:rPr>
          <w:rFonts w:hint="eastAsia" w:ascii="宋体" w:hAnsi="宋体" w:cs="宋体"/>
          <w:bCs/>
          <w:sz w:val="24"/>
          <w:highlight w:val="none"/>
        </w:rPr>
      </w:pPr>
      <w:r>
        <w:rPr>
          <w:rFonts w:hint="eastAsia" w:ascii="宋体" w:hAnsi="宋体" w:cs="宋体"/>
          <w:sz w:val="24"/>
          <w:highlight w:val="none"/>
        </w:rPr>
        <w:t xml:space="preserve">根据现行许可/核准规则，鉴定评审机构需在自行政许可受理决定书签发之日起1年内（其中检验检测机构核准为60个工作日、A级锅炉安装应在2年内）完成鉴定评审工作。</w:t>
      </w:r>
      <w:r>
        <w:rPr>
          <w:rFonts w:hint="eastAsia" w:ascii="宋体" w:hAnsi="宋体"/>
          <w:sz w:val="24"/>
          <w:highlight w:val="none"/>
        </w:rPr>
        <w:t xml:space="preserve">江苏省市场监督管理局</w:t>
      </w:r>
      <w:r>
        <w:rPr>
          <w:rFonts w:hint="eastAsia" w:ascii="宋体" w:hAnsi="宋体" w:cs="宋体"/>
          <w:sz w:val="24"/>
          <w:highlight w:val="none"/>
        </w:rPr>
        <w:t xml:space="preserve">按每季度完成鉴定评审任务，即实际出具的评审报告家数计算支付总额（中标单价*实际完成评审单位家数）。最终拨付款累计不超过预算价，如超过预算价，江苏省市场监督管理局不支付超出部分</w:t>
      </w:r>
      <w:r>
        <w:rPr>
          <w:rFonts w:hint="eastAsia" w:ascii="宋体" w:hAnsi="宋体" w:cs="宋体"/>
          <w:bCs/>
          <w:sz w:val="24"/>
          <w:highlight w:val="none"/>
        </w:rPr>
        <w:t xml:space="preserve">费用</w:t>
      </w:r>
      <w:r>
        <w:rPr>
          <w:rFonts w:hint="eastAsia" w:ascii="宋体" w:hAnsi="宋体" w:cs="宋体"/>
          <w:sz w:val="24"/>
          <w:highlight w:val="none"/>
        </w:rPr>
        <w:t xml:space="preserve">（中标供应商仍需完成江苏省市场监督管理局委托的全部任务）。</w:t>
      </w:r>
      <w:r>
        <w:rPr>
          <w:rFonts w:hint="eastAsia" w:ascii="宋体" w:hAnsi="宋体" w:cs="宋体"/>
          <w:bCs/>
          <w:sz w:val="24"/>
          <w:highlight w:val="none"/>
        </w:rPr>
      </w:r>
      <w:r/>
    </w:p>
    <w:p>
      <w:pPr>
        <w:pStyle w:val="860"/>
        <w:ind w:firstLine="420"/>
        <w:jc w:val="both"/>
        <w:spacing w:before="0" w:beforeAutospacing="0" w:after="0" w:afterAutospacing="0" w:line="560" w:lineRule="exact"/>
        <w:rPr>
          <w:rFonts w:hint="eastAsia"/>
          <w:highlight w:val="none"/>
        </w:rPr>
      </w:pPr>
      <w:r>
        <w:rPr>
          <w:rFonts w:hint="eastAsia"/>
          <w:highlight w:val="none"/>
        </w:rPr>
        <w:t xml:space="preserve">中标供应商不得向评审对象收取或报销任何费用。</w:t>
      </w:r>
      <w:r>
        <w:rPr>
          <w:rFonts w:hint="eastAsia"/>
          <w:highlight w:val="none"/>
        </w:rPr>
      </w:r>
      <w:r/>
    </w:p>
    <w:p>
      <w:pPr>
        <w:pStyle w:val="685"/>
        <w:ind w:firstLine="420"/>
        <w:jc w:val="left"/>
        <w:spacing w:line="560" w:lineRule="exact"/>
        <w:rPr>
          <w:rFonts w:hint="eastAsia" w:ascii="宋体" w:hAnsi="宋体" w:cs="宋体"/>
          <w:b/>
          <w:sz w:val="28"/>
          <w:szCs w:val="28"/>
          <w:highlight w:val="none"/>
        </w:rPr>
      </w:pPr>
      <w:r>
        <w:rPr>
          <w:rFonts w:hint="eastAsia" w:ascii="宋体" w:hAnsi="宋体" w:cs="宋体"/>
          <w:b/>
          <w:sz w:val="28"/>
          <w:szCs w:val="28"/>
          <w:highlight w:val="none"/>
        </w:rPr>
        <w:t xml:space="preserve">四、相关要求</w:t>
      </w:r>
      <w:r>
        <w:rPr>
          <w:rFonts w:hint="eastAsia" w:ascii="宋体" w:hAnsi="宋体" w:cs="宋体"/>
          <w:b/>
          <w:sz w:val="28"/>
          <w:szCs w:val="28"/>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1.按照特种设备安全有关法律法规和安全技术规范、标准规定开展行政许可鉴定评审，出具鉴定评审报告，遵守《江苏省市场监督管理局特种设备行政许可鉴定评审管理办法》等对鉴定评审工作有关规定。</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2.供应商应结合自身鉴定评审能力，按照国家要求时限完成鉴定评审工作，未能满足完成时限要求者不能应标；中标供应商应在规定时间内完成鉴定评审任务，如中标后因中标供应商自身原因导致鉴定评审任务延期完成，一切后果由中标供应商承担。</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3.鉴定评审机构应当对其出具的鉴定评审报告的真实性和准确性负责。鉴定评审机构由于虚假、错误鉴定评审结论而给被鉴定评审单位、</w:t>
      </w:r>
      <w:r>
        <w:rPr>
          <w:rFonts w:hint="eastAsia" w:ascii="宋体" w:hAnsi="宋体"/>
          <w:sz w:val="24"/>
          <w:highlight w:val="none"/>
        </w:rPr>
        <w:t xml:space="preserve">江苏省市场监督管理局</w:t>
      </w:r>
      <w:r>
        <w:rPr>
          <w:rFonts w:hint="eastAsia" w:ascii="宋体" w:hAnsi="宋体" w:cs="宋体"/>
          <w:sz w:val="24"/>
          <w:highlight w:val="none"/>
        </w:rPr>
        <w:t xml:space="preserve">造成损失的，或者给社会带来不良影响的，鉴定评审机构应当负责赔偿，并承担相应法律责任。</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4.在有效服务期内，如中标供应商在人员配置、作业管理、质量控制等各个方面不能满足招标文件的相关要求或没有实现投标文件中的相关承诺，采购人有权单方面解除合同，并保留追究其法律责任的权利。</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5.为保证行政许可申请人利益或公共安全需要，因紧急情况，采购人有权在项目实施过程中，对任务分工作临时性调整。 </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6.除采购人在招标文件中明确外，中标供应商不得以任何方式转包、分包本项目。如发现中标供应商以转包、分包的方式谋取中标，采购人有权解除合同、并要求赔偿相关损失。</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7.鉴定评审机构投标时对照“评标标准”，逐条描述满足程度并提供见证资料，如日后发现实际情况低于投标情况的，投标资料虚假的，取消技术服务资格。</w:t>
      </w:r>
      <w:r>
        <w:rPr>
          <w:rFonts w:hint="eastAsia" w:ascii="宋体" w:hAnsi="宋体" w:cs="宋体"/>
          <w:sz w:val="24"/>
          <w:highlight w:val="none"/>
        </w:rPr>
      </w:r>
      <w:r/>
    </w:p>
    <w:p>
      <w:pPr>
        <w:pStyle w:val="860"/>
        <w:ind w:firstLine="420"/>
        <w:jc w:val="both"/>
        <w:spacing w:before="0" w:beforeAutospacing="0" w:after="0" w:afterAutospacing="0" w:line="560" w:lineRule="exact"/>
        <w:rPr>
          <w:rFonts w:hint="eastAsia"/>
          <w:highlight w:val="none"/>
        </w:rPr>
      </w:pPr>
      <w:r>
        <w:rPr>
          <w:rFonts w:hint="eastAsia"/>
          <w:highlight w:val="none"/>
        </w:rPr>
        <w:t xml:space="preserve">合同终止的，采购人按分包重新组织招标，招标方案不受本次招标影响。联合体中单个成员因上述情形停止鉴定评审，该分包任务由满足要求的其他成员继续完成，如联合体全部成员都被停止鉴定评审，合同终止，采购人按分包重新组织招标，招标方案不受本次招标影响。联合体协议中需注明相关要求。采购人按照中标供应商已评审数量和中标单价支付评审费用。</w:t>
      </w:r>
      <w:r>
        <w:rPr>
          <w:rFonts w:hint="eastAsia"/>
          <w:highlight w:val="none"/>
        </w:rPr>
      </w:r>
      <w:r/>
    </w:p>
    <w:p>
      <w:pPr>
        <w:pStyle w:val="685"/>
        <w:jc w:val="center"/>
        <w:spacing w:line="360" w:lineRule="auto"/>
        <w:rPr>
          <w:rFonts w:hint="eastAsia" w:ascii="华文中宋" w:hAnsi="华文中宋" w:eastAsia="华文中宋"/>
          <w:b/>
          <w:sz w:val="36"/>
          <w:szCs w:val="36"/>
          <w:highlight w:val="none"/>
        </w:rPr>
        <w:outlineLvl w:val="0"/>
      </w:pPr>
      <w:r>
        <w:rPr>
          <w:rFonts w:hint="eastAsia" w:ascii="华文中宋" w:hAnsi="华文中宋" w:eastAsia="华文中宋"/>
          <w:b/>
          <w:sz w:val="36"/>
          <w:szCs w:val="36"/>
          <w:highlight w:val="none"/>
        </w:rPr>
        <w:br w:type="page" w:clear="all"/>
      </w:r>
      <w:bookmarkStart w:id="483" w:name="_Toc29833"/>
      <w:r>
        <w:rPr>
          <w:rFonts w:hint="eastAsia" w:ascii="华文中宋" w:hAnsi="华文中宋" w:eastAsia="华文中宋"/>
          <w:b/>
          <w:sz w:val="36"/>
          <w:szCs w:val="36"/>
          <w:highlight w:val="none"/>
        </w:rPr>
        <w:t xml:space="preserve">第五章 评标方法与评标标准</w:t>
      </w:r>
      <w:bookmarkEnd w:id="474"/>
      <w:r/>
      <w:bookmarkEnd w:id="475"/>
      <w:r/>
      <w:bookmarkEnd w:id="476"/>
      <w:r/>
      <w:bookmarkEnd w:id="477"/>
      <w:r/>
      <w:bookmarkEnd w:id="483"/>
      <w:r>
        <w:rPr>
          <w:rFonts w:hint="eastAsia" w:ascii="华文中宋" w:hAnsi="华文中宋" w:eastAsia="华文中宋"/>
          <w:b/>
          <w:sz w:val="36"/>
          <w:szCs w:val="36"/>
          <w:highlight w:val="none"/>
        </w:rPr>
      </w:r>
      <w:r/>
    </w:p>
    <w:p>
      <w:pPr>
        <w:pStyle w:val="687"/>
        <w:ind w:firstLine="482"/>
        <w:jc w:val="both"/>
        <w:spacing w:before="0" w:after="0" w:line="360" w:lineRule="auto"/>
        <w:rPr>
          <w:rFonts w:ascii="宋体" w:hAnsi="宋体" w:eastAsia="宋体"/>
          <w:sz w:val="24"/>
          <w:szCs w:val="24"/>
          <w:highlight w:val="none"/>
        </w:rPr>
      </w:pPr>
      <w:r/>
      <w:bookmarkStart w:id="484" w:name="_Toc47453314"/>
      <w:r/>
      <w:bookmarkStart w:id="485" w:name="_Toc4782"/>
      <w:r/>
      <w:bookmarkStart w:id="486" w:name="_Toc12708983"/>
      <w:r/>
      <w:bookmarkStart w:id="487" w:name="_Toc9363437"/>
      <w:r/>
      <w:bookmarkStart w:id="488" w:name="_Toc12887274"/>
      <w:r>
        <w:rPr>
          <w:rFonts w:hint="eastAsia" w:ascii="宋体" w:hAnsi="宋体" w:eastAsia="宋体"/>
          <w:sz w:val="24"/>
          <w:szCs w:val="24"/>
          <w:highlight w:val="none"/>
        </w:rPr>
        <w:t xml:space="preserve">一、评标方法与定标原则</w:t>
      </w:r>
      <w:bookmarkEnd w:id="484"/>
      <w:r/>
      <w:bookmarkEnd w:id="485"/>
      <w:r/>
      <w:bookmarkEnd w:id="486"/>
      <w:r/>
      <w:bookmarkEnd w:id="487"/>
      <w:r/>
      <w:bookmarkEnd w:id="488"/>
      <w:r>
        <w:rPr>
          <w:rFonts w:ascii="宋体" w:hAnsi="宋体" w:eastAsia="宋体"/>
          <w:sz w:val="24"/>
          <w:szCs w:val="24"/>
          <w:highlight w:val="none"/>
        </w:rPr>
      </w:r>
      <w:r/>
    </w:p>
    <w:p>
      <w:pPr>
        <w:pStyle w:val="790"/>
        <w:jc w:val="both"/>
        <w:spacing w:before="0" w:after="0"/>
        <w:rPr>
          <w:rFonts w:hint="eastAsia" w:ascii="宋体" w:hAnsi="宋体"/>
          <w:szCs w:val="21"/>
          <w:highlight w:val="none"/>
        </w:rPr>
      </w:pPr>
      <w:r>
        <w:rPr>
          <w:rFonts w:hint="eastAsia" w:ascii="宋体" w:hAnsi="宋体"/>
          <w:bCs/>
          <w:highlight w:val="none"/>
        </w:rPr>
        <w:t xml:space="preserve">评委会将对确定为实质性响应招标文件要求的投标文件进行评价和比较，评标采用综合评分法。</w:t>
      </w:r>
      <w:r>
        <w:rPr>
          <w:rFonts w:ascii="宋体" w:hAnsi="宋体"/>
          <w:bCs/>
          <w:highlight w:val="none"/>
        </w:rPr>
        <w:t xml:space="preserve">采用综合评分法的，评标结果按评审后得分由高到低顺序排列。得分相同的，按投标报价由低到高顺序排列。得分且投标报价相同的</w:t>
      </w:r>
      <w:r>
        <w:rPr>
          <w:rFonts w:hint="eastAsia" w:ascii="宋体" w:hAnsi="宋体"/>
          <w:bCs/>
          <w:highlight w:val="none"/>
        </w:rPr>
        <w:t xml:space="preserve">，</w:t>
      </w:r>
      <w:r>
        <w:rPr>
          <w:rFonts w:hint="eastAsia" w:ascii="宋体" w:hAnsi="宋体"/>
          <w:szCs w:val="21"/>
          <w:highlight w:val="none"/>
        </w:rPr>
        <w:t xml:space="preserve">按方案部分优劣顺序排列</w:t>
      </w:r>
      <w:r>
        <w:rPr>
          <w:rFonts w:hint="eastAsia" w:ascii="宋体" w:hAnsi="宋体"/>
          <w:highlight w:val="none"/>
        </w:rPr>
        <w:t xml:space="preserve">。</w:t>
      </w:r>
      <w:r>
        <w:rPr>
          <w:rFonts w:hint="eastAsia" w:ascii="宋体" w:hAnsi="宋体"/>
          <w:szCs w:val="21"/>
          <w:highlight w:val="none"/>
        </w:rPr>
        <w:t xml:space="preserve">由评委会确定中标供应商。</w:t>
      </w:r>
      <w:r>
        <w:rPr>
          <w:rFonts w:hint="eastAsia" w:ascii="宋体" w:hAnsi="宋体"/>
          <w:szCs w:val="21"/>
          <w:highlight w:val="none"/>
        </w:rPr>
      </w:r>
      <w:r/>
    </w:p>
    <w:p>
      <w:pPr>
        <w:pStyle w:val="790"/>
        <w:ind w:firstLine="482"/>
        <w:jc w:val="both"/>
        <w:spacing w:before="0" w:after="0"/>
        <w:rPr>
          <w:rFonts w:hint="eastAsia" w:ascii="宋体" w:hAnsi="宋体"/>
          <w:szCs w:val="21"/>
          <w:highlight w:val="none"/>
        </w:rPr>
      </w:pPr>
      <w:r>
        <w:rPr>
          <w:rFonts w:hint="eastAsia" w:ascii="宋体" w:hAnsi="宋体"/>
          <w:b/>
          <w:bCs/>
          <w:highlight w:val="none"/>
        </w:rPr>
        <w:t xml:space="preserve">本项目中各采购包“可兼中兼得”。</w:t>
      </w:r>
      <w:r>
        <w:rPr>
          <w:rFonts w:hint="eastAsia" w:ascii="宋体" w:hAnsi="宋体"/>
          <w:szCs w:val="21"/>
          <w:highlight w:val="none"/>
        </w:rPr>
      </w:r>
      <w:r/>
    </w:p>
    <w:p>
      <w:pPr>
        <w:pStyle w:val="687"/>
        <w:ind w:firstLine="482"/>
        <w:jc w:val="both"/>
        <w:spacing w:before="0" w:after="0" w:line="360" w:lineRule="auto"/>
        <w:rPr>
          <w:rFonts w:ascii="宋体" w:hAnsi="宋体" w:eastAsia="宋体"/>
          <w:sz w:val="24"/>
          <w:szCs w:val="24"/>
          <w:highlight w:val="none"/>
        </w:rPr>
      </w:pPr>
      <w:r/>
      <w:bookmarkStart w:id="489" w:name="_Toc20454"/>
      <w:r/>
      <w:bookmarkStart w:id="490" w:name="_Toc12708984"/>
      <w:r/>
      <w:bookmarkStart w:id="491" w:name="_Toc12887275"/>
      <w:r/>
      <w:bookmarkStart w:id="492" w:name="_Toc9363438"/>
      <w:r/>
      <w:bookmarkStart w:id="493" w:name="_Toc47453315"/>
      <w:r>
        <w:rPr>
          <w:rFonts w:hint="eastAsia" w:ascii="宋体" w:hAnsi="宋体" w:eastAsia="宋体"/>
          <w:sz w:val="24"/>
          <w:szCs w:val="24"/>
          <w:highlight w:val="none"/>
        </w:rPr>
        <w:t xml:space="preserve">二、评标标准</w:t>
      </w:r>
      <w:bookmarkEnd w:id="489"/>
      <w:r/>
      <w:bookmarkEnd w:id="490"/>
      <w:r/>
      <w:bookmarkEnd w:id="491"/>
      <w:r/>
      <w:bookmarkEnd w:id="492"/>
      <w:r/>
      <w:bookmarkEnd w:id="493"/>
      <w:r>
        <w:rPr>
          <w:rFonts w:ascii="宋体" w:hAnsi="宋体" w:eastAsia="宋体"/>
          <w:sz w:val="24"/>
          <w:szCs w:val="24"/>
          <w:highlight w:val="none"/>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664"/>
          <w:tblHeader/>
        </w:trPr>
        <w:tc>
          <w:tcPr>
            <w:tcW w:w="609"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bookmarkStart w:id="494" w:name="_Toc8485125"/>
            <w:r/>
            <w:bookmarkStart w:id="495" w:name="_Toc12887276"/>
            <w:r/>
            <w:bookmarkStart w:id="496" w:name="_Toc47453316"/>
            <w:r/>
            <w:bookmarkStart w:id="497" w:name="_Hlk106726583"/>
            <w:r/>
            <w:bookmarkStart w:id="498" w:name="_Hlk106725945"/>
            <w:r/>
            <w:bookmarkStart w:id="499" w:name="_Hlk106727412"/>
            <w:r/>
            <w:bookmarkStart w:id="500" w:name="_Toc9363439"/>
            <w:r/>
            <w:bookmarkStart w:id="501" w:name="_Toc12708985"/>
            <w:r>
              <w:rPr>
                <w:rFonts w:hint="eastAsia" w:ascii="宋体" w:hAnsi="宋体" w:cs="宋体"/>
                <w:b/>
                <w:szCs w:val="21"/>
                <w:highlight w:val="none"/>
              </w:rPr>
              <w:t xml:space="preserve">序号</w:t>
            </w:r>
            <w:r>
              <w:rPr>
                <w:rFonts w:hint="eastAsia" w:ascii="宋体" w:hAnsi="宋体" w:cs="宋体"/>
                <w:b/>
                <w:szCs w:val="21"/>
                <w:highlight w:val="none"/>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类别评价项目</w:t>
            </w:r>
            <w:r>
              <w:rPr>
                <w:rFonts w:hint="eastAsia" w:ascii="宋体" w:hAnsi="宋体" w:cs="宋体"/>
                <w:b/>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评分内容</w:t>
            </w:r>
            <w:r>
              <w:rPr>
                <w:rFonts w:hint="eastAsia" w:ascii="宋体" w:hAnsi="宋体" w:cs="宋体"/>
                <w:b/>
                <w:szCs w:val="21"/>
                <w:highlight w:val="none"/>
              </w:rPr>
            </w:r>
            <w:r/>
          </w:p>
        </w:tc>
        <w:tc>
          <w:tcPr>
            <w:tcW w:w="5207"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评分标准</w:t>
            </w:r>
            <w:r>
              <w:rPr>
                <w:rFonts w:hint="eastAsia" w:ascii="宋体" w:hAnsi="宋体" w:cs="宋体"/>
                <w:b/>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分值</w:t>
            </w:r>
            <w:r>
              <w:rPr>
                <w:rFonts w:hint="eastAsia" w:ascii="宋体" w:hAnsi="宋体" w:cs="宋体"/>
                <w:b/>
                <w:szCs w:val="21"/>
                <w:highlight w:val="none"/>
              </w:rPr>
            </w:r>
            <w:r/>
          </w:p>
        </w:tc>
      </w:tr>
      <w:tr>
        <w:trPr>
          <w:cantSplit/>
          <w:trHeight w:val="161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鉴定评审资源条件</w:t>
            </w:r>
            <w:r>
              <w:rPr>
                <w:rFonts w:hint="eastAsia" w:ascii="宋体" w:hAnsi="宋体" w:cs="宋体"/>
                <w:bCs/>
                <w:color w:val="000000"/>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（8分）</w:t>
            </w: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满足鉴定</w:t>
            </w:r>
            <w:r>
              <w:rPr>
                <w:rFonts w:hint="eastAsia" w:ascii="宋体" w:hAnsi="宋体" w:cs="宋体"/>
                <w:bCs/>
                <w:szCs w:val="21"/>
                <w:highlight w:val="none"/>
              </w:rPr>
            </w:r>
            <w:r/>
          </w:p>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评审工作的办公场所</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具有满足鉴定评审工作的办公场所，得2分。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须提供自有产权证明或者租赁合同及权属方产权证明复印件加盖公章。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191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办公设施</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具有基本办公设施，得2分。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须提供固定资产设施清单、现场实物图片及购置发票</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或租赁合同</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复印件加盖公章。至少包括电脑、扫描仪、打印机、复印机。</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422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评审卷宗档案资料保存场所和设施</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具备良好的评审卷宗资料保存场所，实现档案信息化管理，档案管理规范，得2分；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具备良好的评审卷宗资料保存场所，未实现档案信息化管理，档案管理有效，得1.5分；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具备一般的评审卷宗资料保存场所，能够实施档案管理，得1分；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不具备评审卷宗资料保存场所，不得分。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须提供能够长期使用证明（本单位文件）、档案资料保存场所照片、档案电子化管理图片及部分档案照片（含单份评审档案目录）复印件加盖公章。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406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有关法律法规、技术规范和标准</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具备较为完整的鉴定评审有关法律法规、技术规范和标准，得2分；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具备鉴定评审有关法律法规、技术规范和标准但不够完整，得1分；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不具备鉴定评审有关法律法规、技术规范和标准，或提供的有关法律法规、技术规范和标准非现行有效，不得分。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须提供按法律、法规、安全技术规范、标准顺序列出的台账明细（包括标题、出版年代）及实物封面图片复印件加盖公章。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3490"/>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鉴定评审内部管理</w:t>
            </w:r>
            <w:r>
              <w:rPr>
                <w:rFonts w:hint="eastAsia" w:ascii="宋体" w:hAnsi="宋体" w:cs="宋体"/>
                <w:bCs/>
                <w:color w:val="000000"/>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（22分）</w:t>
            </w: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领导分工工作机构和岗位职责</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组织分工明确，机构健全，编制、审核、批准等岗位人员职责清晰，得4分；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鉴定评审领导分工及岗位职责较为清晰，具备基本明确的机构方案，得2分；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不具备评审组织分工及岗位职责机构方案，不得分。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须提供相应的任命文件、机构设置证明及机构和岗位职责文件等，并明确报告编制、审核和批准人员，复印件加盖公章。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4分</w:t>
            </w:r>
            <w:r>
              <w:rPr>
                <w:rFonts w:hint="eastAsia" w:ascii="宋体" w:hAnsi="宋体" w:cs="宋体"/>
                <w:bCs/>
                <w:szCs w:val="21"/>
                <w:highlight w:val="none"/>
              </w:rPr>
            </w:r>
            <w:r/>
          </w:p>
        </w:tc>
      </w:tr>
      <w:tr>
        <w:trPr>
          <w:cantSplit/>
          <w:trHeight w:val="595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鉴定评审管理制度和内部培训</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有完善的鉴定评审管理制度和培训记录（联合体投标的，联合体各成员任务分配合理、责任明确的），得10分；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有基本的鉴定评审管理制度和培训记录（联合体投标的，联合体各成员任务分配基本合理、责任基本明确的），内容较完整，得6分；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制定的鉴定评审管理制度、培训记录不完整（联合体投标的，联合体各成员任务分配不合理、责任不明确的），内容有明显缺项或错误，得3分；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不具备鉴定评审管理制度和培训记录（联合体投标的，未提供分工方案、成员责任的），不得分。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须提供评审管理制度（包括但不限于评审人员委派制度、评审期限管理制度、评审人员培训考核制度、报告报送制度、评审问题落实整改制度、内部考核制度、服务评审对象制度）及评审业务培训见证资料。</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ff"/>
                <w:szCs w:val="21"/>
                <w:highlight w:val="none"/>
              </w:rPr>
            </w:pPr>
            <w:r>
              <w:rPr>
                <w:rFonts w:hint="eastAsia" w:ascii="宋体" w:hAnsi="宋体" w:cs="宋体"/>
                <w:bCs/>
                <w:szCs w:val="21"/>
                <w:highlight w:val="none"/>
              </w:rPr>
              <w:t xml:space="preserve">10分</w:t>
            </w:r>
            <w:r>
              <w:rPr>
                <w:rFonts w:hint="eastAsia" w:ascii="宋体" w:hAnsi="宋体" w:cs="宋体"/>
                <w:bCs/>
                <w:color w:val="0000ff"/>
                <w:szCs w:val="21"/>
                <w:highlight w:val="none"/>
              </w:rPr>
            </w:r>
            <w:r/>
          </w:p>
        </w:tc>
      </w:tr>
      <w:tr>
        <w:trPr>
          <w:cantSplit/>
          <w:trHeight w:val="497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评审作业指导书（包括评审报告、评审记录和确认清单的模板，需填写样本内容）</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有完整、详实、准确的评审作业指导书，得8分；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有基本完整的的评审作业指导书，内容基本覆盖许可/核准规则要求，得6分；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制定的评审作业指导书不完整，或者内容不规范，得4分；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制定的评审作业指导书不完整，内容有明显缺项和错误，得2分；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不具备评审作业指导书，不得分。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须提供评审作业指导书（包括评审报告、评审记录和确认清单的模板，填写指南，需填写样本内容），评审作业指导书需覆盖分包对应的各个子项目，同一子项目提供目前省级实施许可的最高参数级别。</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（联合体投标的，联合体成员按联合体协议约定提供相应上述证明材料）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ff0000"/>
                <w:szCs w:val="21"/>
                <w:highlight w:val="none"/>
              </w:rPr>
            </w:pPr>
            <w:r>
              <w:rPr>
                <w:rFonts w:hint="eastAsia" w:ascii="宋体" w:hAnsi="宋体" w:cs="宋体"/>
                <w:bCs/>
                <w:szCs w:val="21"/>
                <w:highlight w:val="none"/>
              </w:rPr>
              <w:t xml:space="preserve">8分</w:t>
            </w:r>
            <w:r>
              <w:rPr>
                <w:rFonts w:hint="eastAsia" w:ascii="宋体" w:hAnsi="宋体" w:cs="宋体"/>
                <w:bCs/>
                <w:color w:val="ff0000"/>
                <w:szCs w:val="21"/>
                <w:highlight w:val="none"/>
              </w:rPr>
            </w:r>
            <w:r/>
          </w:p>
        </w:tc>
      </w:tr>
      <w:tr>
        <w:trPr>
          <w:cantSplit/>
          <w:trHeight w:val="3782"/>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鉴定评审工作人员</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鉴定评审报告批准、审核人员</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报告批准、审核人员至少各1名。且须完全满足下列条件：1、年龄不超过65周岁（截止至开标日当天）；2、特种设备相关专业本科以上学历；3、10年（含）以上特种设备相关工作经历；4、高级工程师职称或者特种设备检验师资质。每有1人得1分，最高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人员台账及身份证、学历（专业）证书、职称证书（资格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
                <w:szCs w:val="21"/>
                <w:highlight w:val="none"/>
              </w:rPr>
              <w:t xml:space="preserve">注：鉴定评审报告批准、审核人员可相互兼任。</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4分</w:t>
            </w:r>
            <w:r>
              <w:rPr>
                <w:rFonts w:hint="eastAsia" w:ascii="宋体" w:hAnsi="宋体" w:cs="宋体"/>
                <w:bCs/>
                <w:szCs w:val="21"/>
                <w:highlight w:val="none"/>
              </w:rPr>
            </w:r>
            <w:r/>
          </w:p>
        </w:tc>
      </w:tr>
      <w:tr>
        <w:trPr>
          <w:cantSplit/>
          <w:trHeight w:val="7046"/>
        </w:trPr>
        <w:tc>
          <w:tcPr>
            <w:tcW w:w="609" w:type="dxa"/>
            <w:vAlign w:val="center"/>
            <w:vMerge w:val="continue"/>
            <w:textDirection w:val="lrTb"/>
            <w:noWrap w:val="false"/>
          </w:tcPr>
          <w:p>
            <w:pPr>
              <w:pStyle w:val="685"/>
              <w:jc w:val="left"/>
              <w:widowControl/>
              <w:rPr>
                <w:rFonts w:hint="eastAsia" w:ascii="宋体" w:hAnsi="宋体" w:cs="宋体"/>
                <w:bCs/>
                <w:szCs w:val="21"/>
                <w:highlight w:val="none"/>
              </w:rPr>
            </w:pPr>
            <w:r>
              <w:rPr>
                <w:rFonts w:hint="eastAsia" w:ascii="宋体" w:hAnsi="宋体" w:cs="宋体"/>
                <w:bCs/>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szCs w:val="21"/>
                <w:highlight w:val="none"/>
              </w:rPr>
            </w:pPr>
            <w:r>
              <w:rPr>
                <w:rFonts w:hint="eastAsia" w:ascii="宋体" w:hAnsi="宋体" w:cs="宋体"/>
                <w:bCs/>
                <w:szCs w:val="21"/>
                <w:highlight w:val="none"/>
              </w:rPr>
            </w:r>
            <w:r/>
          </w:p>
        </w:tc>
        <w:tc>
          <w:tcPr>
            <w:tcW w:w="1296" w:type="dxa"/>
            <w:vAlign w:val="center"/>
            <w:textDirection w:val="lrTb"/>
            <w:noWrap w:val="false"/>
          </w:tcPr>
          <w:p>
            <w:pPr>
              <w:pStyle w:val="685"/>
              <w:jc w:val="center"/>
              <w:widowControl/>
              <w:rPr>
                <w:rFonts w:hint="eastAsia" w:ascii="宋体" w:hAnsi="宋体" w:cs="宋体"/>
                <w:bCs/>
                <w:szCs w:val="21"/>
                <w:highlight w:val="none"/>
              </w:rPr>
            </w:pPr>
            <w:r>
              <w:rPr>
                <w:rFonts w:hint="eastAsia" w:ascii="宋体" w:hAnsi="宋体" w:cs="宋体"/>
                <w:bCs/>
                <w:szCs w:val="21"/>
                <w:highlight w:val="none"/>
              </w:rPr>
              <w:t xml:space="preserve">评审人员</w:t>
            </w:r>
            <w:r>
              <w:rPr>
                <w:rFonts w:hint="eastAsia" w:ascii="宋体" w:hAnsi="宋体" w:cs="宋体"/>
                <w:bCs/>
                <w:szCs w:val="21"/>
                <w:highlight w:val="none"/>
              </w:rPr>
            </w:r>
            <w:r/>
          </w:p>
        </w:tc>
        <w:tc>
          <w:tcPr>
            <w:tcW w:w="5207" w:type="dxa"/>
            <w:vAlign w:val="center"/>
            <w:textDirection w:val="lrTb"/>
            <w:noWrap w:val="false"/>
          </w:tcPr>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具备评审人员（除</w:t>
            </w:r>
            <w:r>
              <w:rPr>
                <w:rFonts w:hint="eastAsia" w:ascii="宋体" w:hAnsi="宋体" w:cs="宋体"/>
                <w:bCs/>
                <w:szCs w:val="21"/>
                <w:highlight w:val="none"/>
              </w:rPr>
              <w:t xml:space="preserve">鉴定评审报告批准、审核人员外</w:t>
            </w:r>
            <w:r>
              <w:rPr>
                <w:rFonts w:hint="eastAsia" w:ascii="宋体" w:hAnsi="宋体" w:cs="宋体"/>
                <w:bCs/>
                <w:szCs w:val="21"/>
                <w:highlight w:val="none"/>
                <w:lang w:bidi="zh-CN"/>
              </w:rPr>
              <w:t xml:space="preserve">）至少9名。</w:t>
            </w:r>
            <w:r>
              <w:rPr>
                <w:rFonts w:hint="eastAsia" w:ascii="宋体" w:hAnsi="宋体" w:cs="宋体"/>
                <w:bCs/>
                <w:szCs w:val="21"/>
                <w:highlight w:val="none"/>
              </w:rPr>
              <w:t xml:space="preserve">且须完全满足下列条件：1、</w:t>
            </w:r>
            <w:r>
              <w:rPr>
                <w:rFonts w:hint="eastAsia" w:ascii="宋体" w:hAnsi="宋体" w:cs="宋体"/>
                <w:bCs/>
                <w:szCs w:val="21"/>
                <w:highlight w:val="none"/>
                <w:lang w:bidi="zh-CN"/>
              </w:rPr>
              <w:t xml:space="preserve">年龄不超过65周岁（</w:t>
            </w:r>
            <w:r>
              <w:rPr>
                <w:rFonts w:hint="eastAsia" w:ascii="宋体" w:hAnsi="宋体" w:cs="宋体"/>
                <w:bCs/>
                <w:szCs w:val="21"/>
                <w:highlight w:val="none"/>
                <w:lang w:val="en-US" w:bidi="zh-CN"/>
              </w:rPr>
              <w:t xml:space="preserve">截止</w:t>
            </w:r>
            <w:r>
              <w:rPr>
                <w:rFonts w:hint="eastAsia" w:ascii="宋体" w:hAnsi="宋体" w:cs="宋体"/>
                <w:bCs/>
                <w:szCs w:val="21"/>
                <w:highlight w:val="none"/>
              </w:rPr>
              <w:t xml:space="preserve">至开标日当天）</w:t>
            </w:r>
            <w:r>
              <w:rPr>
                <w:rFonts w:hint="eastAsia" w:ascii="宋体" w:hAnsi="宋体" w:cs="宋体"/>
                <w:bCs/>
                <w:szCs w:val="21"/>
                <w:highlight w:val="none"/>
                <w:lang w:bidi="zh-CN"/>
              </w:rPr>
              <w:t xml:space="preserve">；2、特种设备相关专业本科及以上学历；3、具有中级及以上职称；4、有5年</w:t>
            </w:r>
            <w:r>
              <w:rPr>
                <w:rFonts w:hint="eastAsia" w:ascii="宋体" w:hAnsi="宋体" w:cs="宋体"/>
                <w:bCs/>
                <w:szCs w:val="21"/>
                <w:highlight w:val="none"/>
              </w:rPr>
              <w:t xml:space="preserve">（含）</w:t>
            </w:r>
            <w:r>
              <w:rPr>
                <w:rFonts w:hint="eastAsia" w:ascii="宋体" w:hAnsi="宋体" w:cs="宋体"/>
                <w:bCs/>
                <w:szCs w:val="21"/>
                <w:highlight w:val="none"/>
                <w:lang w:bidi="zh-CN"/>
              </w:rPr>
              <w:t xml:space="preserve">以上特种设备相关工作经历。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人均评审任务数低于8家，得16分；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人均评审任务数8家-15家，得8分；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人均评审任务数16家-32家，得4分；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人均评审任务数超过32家以上，不得分。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
                <w:szCs w:val="21"/>
                <w:highlight w:val="none"/>
                <w:lang w:bidi="zh-CN"/>
              </w:rPr>
              <w:t xml:space="preserve">（人均评审任务数=预计服务期内任务数/评审人员数）</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须提供人员台账及身份证、学历（专业）证书、职称证书、工作经历证明、供应商与上述人员签订的劳动（聘用）合同及为上述人员缴纳的（2025年10月-2026年03月）中任一月份的社保证明。退休人员须提供退休证明及与评审机构签订的聘用协议</w:t>
            </w:r>
            <w:r>
              <w:rPr>
                <w:rFonts w:hint="eastAsia" w:ascii="宋体" w:hAnsi="宋体" w:cs="宋体"/>
                <w:bCs/>
                <w:szCs w:val="21"/>
                <w:highlight w:val="none"/>
              </w:rPr>
              <w:t xml:space="preserve">（联合体投标的须明确人员所属单位）</w:t>
            </w:r>
            <w:r>
              <w:rPr>
                <w:rFonts w:hint="eastAsia" w:ascii="宋体" w:hAnsi="宋体" w:cs="宋体"/>
                <w:bCs/>
                <w:szCs w:val="21"/>
                <w:highlight w:val="none"/>
                <w:lang w:bidi="zh-CN"/>
              </w:rPr>
              <w:t xml:space="preserve">。</w:t>
            </w:r>
            <w:r>
              <w:rPr>
                <w:rFonts w:hint="eastAsia" w:ascii="宋体" w:hAnsi="宋体" w:cs="宋体"/>
                <w:bCs/>
                <w:szCs w:val="21"/>
                <w:highlight w:val="none"/>
                <w:lang w:bidi="zh-CN"/>
              </w:rPr>
            </w:r>
            <w:r/>
          </w:p>
          <w:p>
            <w:pPr>
              <w:pStyle w:val="685"/>
              <w:rPr>
                <w:rFonts w:hint="eastAsia" w:ascii="宋体" w:hAnsi="宋体" w:cs="宋体"/>
                <w:b/>
                <w:szCs w:val="21"/>
                <w:highlight w:val="none"/>
                <w:lang w:bidi="zh-CN"/>
              </w:rPr>
            </w:pPr>
            <w:r>
              <w:rPr>
                <w:rFonts w:hint="eastAsia" w:ascii="宋体" w:hAnsi="宋体" w:cs="宋体"/>
                <w:b/>
                <w:szCs w:val="21"/>
                <w:highlight w:val="none"/>
                <w:lang w:bidi="zh-CN"/>
              </w:rPr>
              <w:t xml:space="preserve">注：</w:t>
            </w:r>
            <w:r>
              <w:rPr>
                <w:rFonts w:hint="eastAsia" w:ascii="宋体" w:hAnsi="宋体" w:cs="宋体"/>
                <w:b/>
                <w:szCs w:val="21"/>
                <w:highlight w:val="none"/>
                <w:lang w:bidi="zh-CN"/>
              </w:rPr>
            </w:r>
            <w:r/>
          </w:p>
          <w:p>
            <w:pPr>
              <w:pStyle w:val="685"/>
              <w:rPr>
                <w:rFonts w:hint="eastAsia" w:ascii="宋体" w:hAnsi="宋体" w:cs="宋体"/>
                <w:b/>
                <w:szCs w:val="21"/>
                <w:highlight w:val="none"/>
                <w:lang w:bidi="zh-CN"/>
              </w:rPr>
            </w:pPr>
            <w:r>
              <w:rPr>
                <w:rFonts w:hint="eastAsia" w:ascii="宋体" w:hAnsi="宋体" w:cs="宋体"/>
                <w:b/>
                <w:szCs w:val="21"/>
                <w:highlight w:val="none"/>
                <w:lang w:bidi="zh-CN"/>
              </w:rPr>
              <w:t xml:space="preserve">1、此项评审人员不得与前项人员重复，重复人员均不计分；</w:t>
            </w:r>
            <w:r>
              <w:rPr>
                <w:rFonts w:hint="eastAsia" w:ascii="宋体" w:hAnsi="宋体" w:cs="宋体"/>
                <w:b/>
                <w:szCs w:val="21"/>
                <w:highlight w:val="none"/>
                <w:lang w:bidi="zh-CN"/>
              </w:rPr>
            </w:r>
            <w:r/>
          </w:p>
          <w:p>
            <w:pPr>
              <w:pStyle w:val="721"/>
              <w:ind w:left="0"/>
              <w:rPr>
                <w:rFonts w:hint="eastAsia" w:ascii="宋体" w:hAnsi="宋体" w:cs="宋体"/>
                <w:bCs/>
                <w:szCs w:val="21"/>
                <w:highlight w:val="none"/>
                <w:lang w:bidi="zh-CN"/>
              </w:rPr>
            </w:pPr>
            <w:r>
              <w:rPr>
                <w:rFonts w:hint="eastAsia" w:ascii="宋体" w:hAnsi="宋体" w:cs="宋体"/>
                <w:b/>
                <w:szCs w:val="21"/>
                <w:highlight w:val="none"/>
                <w:lang w:bidi="zh-CN"/>
              </w:rPr>
              <w:t xml:space="preserve">2、从事特种设备生产单位许可鉴定评审、移动式压力容器气瓶充装鉴定评审、特种设备检验检测机构核准的评审人员也不得重复，重复人员均不计分。</w:t>
            </w:r>
            <w:r>
              <w:rPr>
                <w:rFonts w:hint="eastAsia" w:ascii="宋体" w:hAnsi="宋体" w:cs="宋体"/>
                <w:bCs/>
                <w:szCs w:val="21"/>
                <w:highlight w:val="none"/>
                <w:lang w:bidi="zh-CN"/>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16分</w:t>
            </w:r>
            <w:r>
              <w:rPr>
                <w:rFonts w:hint="eastAsia" w:ascii="宋体" w:hAnsi="宋体" w:cs="宋体"/>
                <w:bCs/>
                <w:szCs w:val="21"/>
                <w:highlight w:val="none"/>
              </w:rPr>
            </w:r>
            <w:r/>
          </w:p>
        </w:tc>
      </w:tr>
      <w:tr>
        <w:trPr>
          <w:cantSplit/>
          <w:trHeight w:val="16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工作业绩、工作质量</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（35分）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工作业绩</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2024年6月1日以来承担过特种设备许可项目鉴定评审任务的，每份报告业绩得分0.4分，最高20分。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lang w:bidi="zh-CN"/>
              </w:rPr>
            </w:pPr>
            <w:r>
              <w:rPr>
                <w:rFonts w:hint="eastAsia" w:ascii="宋体" w:hAnsi="宋体" w:cs="宋体"/>
                <w:bCs/>
                <w:szCs w:val="21"/>
                <w:highlight w:val="none"/>
              </w:rPr>
              <w:t xml:space="preserve">包4：须提供至少1次长输管道设计（GA1）</w:t>
            </w:r>
            <w:r>
              <w:rPr>
                <w:rFonts w:hint="eastAsia" w:ascii="宋体" w:hAnsi="宋体" w:cs="宋体"/>
                <w:bCs/>
                <w:szCs w:val="21"/>
                <w:highlight w:val="none"/>
                <w:lang w:bidi="zh-CN"/>
              </w:rPr>
              <w:t xml:space="preserve">鉴定评审</w:t>
            </w:r>
            <w:r>
              <w:rPr>
                <w:rFonts w:hint="eastAsia" w:ascii="宋体" w:hAnsi="宋体" w:cs="宋体"/>
                <w:bCs/>
                <w:szCs w:val="21"/>
                <w:highlight w:val="none"/>
              </w:rPr>
              <w:t xml:space="preserve">业绩，若无则在所获</w:t>
            </w:r>
            <w:r>
              <w:rPr>
                <w:rFonts w:hint="eastAsia" w:ascii="宋体" w:hAnsi="宋体" w:cs="宋体"/>
                <w:bCs/>
                <w:szCs w:val="21"/>
                <w:highlight w:val="none"/>
                <w:lang w:bidi="zh-CN"/>
              </w:rPr>
              <w:t xml:space="preserve">总分基础上扣3分。</w:t>
            </w:r>
            <w:r>
              <w:rPr>
                <w:rFonts w:hint="eastAsia" w:ascii="宋体" w:hAnsi="宋体" w:cs="宋体"/>
                <w:bCs/>
                <w:szCs w:val="21"/>
                <w:highlight w:val="none"/>
                <w:lang w:bidi="zh-CN"/>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包5：须提供至少1次甲类B1级及以上检验机构、至少1次电梯检测机构评审业绩，缺少1项则在所获总分基础上扣3分，本项最多扣6分。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须提供委托评审通知（函）和对应的鉴定评审基本情况确认表（含企业盖章）。</w:t>
            </w:r>
            <w:r>
              <w:rPr>
                <w:rFonts w:hint="eastAsia" w:ascii="宋体" w:hAnsi="宋体" w:cs="宋体"/>
                <w:bCs/>
                <w:szCs w:val="21"/>
                <w:highlight w:val="none"/>
                <w:lang w:bidi="zh-CN"/>
              </w:rPr>
              <w:t xml:space="preserve">工作业绩评审项目与所投包内容一致，</w:t>
            </w:r>
            <w:r>
              <w:rPr>
                <w:rFonts w:hint="eastAsia" w:ascii="宋体" w:hAnsi="宋体" w:cs="宋体"/>
                <w:bCs/>
                <w:szCs w:val="21"/>
                <w:highlight w:val="none"/>
              </w:rPr>
              <w:t xml:space="preserve">需覆盖分包对应的各个子项目。</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20分</w:t>
            </w:r>
            <w:r>
              <w:rPr>
                <w:rFonts w:hint="eastAsia" w:ascii="宋体" w:hAnsi="宋体" w:cs="宋体"/>
                <w:bCs/>
                <w:szCs w:val="21"/>
                <w:highlight w:val="none"/>
              </w:rPr>
            </w:r>
            <w:r/>
          </w:p>
        </w:tc>
      </w:tr>
      <w:tr>
        <w:trPr>
          <w:cantSplit/>
          <w:trHeight w:val="3822"/>
        </w:trPr>
        <w:tc>
          <w:tcPr>
            <w:tcW w:w="609" w:type="dxa"/>
            <w:vAlign w:val="center"/>
            <w:vMerge w:val="continue"/>
            <w:textDirection w:val="lrTb"/>
            <w:noWrap w:val="false"/>
          </w:tcPr>
          <w:p>
            <w:pPr>
              <w:pStyle w:val="685"/>
              <w:shd w:val="clear" w:color="auto" w:fill="ffffff"/>
              <w:widowControl/>
              <w:rPr>
                <w:rFonts w:hint="eastAsia" w:ascii="宋体" w:hAnsi="宋体" w:cs="宋体"/>
                <w:bCs/>
                <w:szCs w:val="21"/>
                <w:highlight w:val="none"/>
              </w:rPr>
            </w:pPr>
            <w:r>
              <w:rPr>
                <w:rFonts w:hint="eastAsia" w:ascii="宋体" w:hAnsi="宋体" w:cs="宋体"/>
                <w:bCs/>
                <w:szCs w:val="21"/>
                <w:highlight w:val="none"/>
              </w:rPr>
            </w:r>
            <w:r/>
          </w:p>
        </w:tc>
        <w:tc>
          <w:tcPr>
            <w:tcW w:w="1254" w:type="dxa"/>
            <w:vAlign w:val="center"/>
            <w:vMerge w:val="continue"/>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工作质量</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从评审材料完整性、规范性、准确性角度综合评判。</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评审材料格式规范，无明显编辑错误、逻辑错误、缺项，各项材料真实、客观，得15分；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评审材料格式较规范，无明显编辑错误、逻辑错误、缺项，各项材料较真实、客观，得10分；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评审材料格式不规范，有明显编辑错误、逻辑错误、缺项，各项材料欠缺真实性、客观性，得5分；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未提供，不得分。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须提供5份不同项目完整的评审档案材料（含评审报告、评审记录、确认清单、整改报告及证明材料、资源条件见证材料等）。</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r>
      <w:tr>
        <w:trPr>
          <w:trHeight w:val="1658"/>
        </w:trPr>
        <w:tc>
          <w:tcPr>
            <w:tcW w:w="609"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服务报价</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报价</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价格分统一采用低价优先法，即满足招标文件要求且投标价格最低的投标报价为评标基准价，其价格分为满分。其他供应商的价格分统一按照下列公式计算： 投标报价得分＝（评标基准价/投标报价）×15％×100</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r>
    </w:tbl>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注：</w:t>
      </w:r>
      <w:bookmarkEnd w:id="497"/>
      <w:r>
        <w:rPr>
          <w:rFonts w:hint="eastAsia" w:ascii="宋体" w:hAnsi="宋体"/>
          <w:b/>
          <w:bCs/>
          <w:sz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1、采购人与中标供应商在签订合同时,有权要求中标供应商提供其投标文件中的承诺响应的证明材料原件进行真实性核实，如中标供应商无法提供,或无法核实真实性的,则视为虚假响应,报财政部门按照政府采购相关规定处理。</w:t>
      </w:r>
      <w:r>
        <w:rPr>
          <w:rFonts w:hint="eastAsia" w:ascii="宋体" w:hAnsi="宋体"/>
          <w:b/>
          <w:bCs/>
          <w:sz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2、所有认证、证明和业绩均以有效的证明文件的复印件为依据。</w:t>
      </w:r>
      <w:r>
        <w:rPr>
          <w:rFonts w:hint="eastAsia" w:ascii="宋体" w:hAnsi="宋体"/>
          <w:b/>
          <w:bCs/>
          <w:sz w:val="24"/>
          <w:highlight w:val="none"/>
        </w:rPr>
      </w:r>
      <w:r/>
    </w:p>
    <w:p>
      <w:pPr>
        <w:pStyle w:val="687"/>
        <w:ind w:firstLine="482"/>
        <w:jc w:val="both"/>
        <w:spacing w:before="0" w:after="0" w:line="360" w:lineRule="auto"/>
        <w:rPr>
          <w:rFonts w:ascii="宋体" w:hAnsi="宋体" w:eastAsia="宋体"/>
          <w:sz w:val="24"/>
          <w:szCs w:val="24"/>
          <w:highlight w:val="none"/>
        </w:rPr>
      </w:pPr>
      <w:r/>
      <w:bookmarkEnd w:id="498"/>
      <w:r/>
      <w:bookmarkEnd w:id="499"/>
      <w:r/>
      <w:bookmarkStart w:id="502" w:name="_Toc21623"/>
      <w:r>
        <w:rPr>
          <w:rFonts w:hint="eastAsia" w:ascii="宋体" w:hAnsi="宋体" w:eastAsia="宋体"/>
          <w:sz w:val="24"/>
          <w:szCs w:val="24"/>
          <w:highlight w:val="none"/>
        </w:rPr>
        <w:t xml:space="preserve">三、政府采购政策功能落实</w:t>
      </w:r>
      <w:bookmarkEnd w:id="494"/>
      <w:r/>
      <w:bookmarkEnd w:id="495"/>
      <w:r/>
      <w:bookmarkEnd w:id="496"/>
      <w:r/>
      <w:bookmarkEnd w:id="500"/>
      <w:r/>
      <w:bookmarkEnd w:id="501"/>
      <w:r/>
      <w:bookmarkEnd w:id="502"/>
      <w:r>
        <w:rPr>
          <w:rFonts w:ascii="宋体" w:hAnsi="宋体" w:eastAsia="宋体"/>
          <w:sz w:val="24"/>
          <w:szCs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bCs/>
          <w:sz w:val="24"/>
          <w:highlight w:val="none"/>
        </w:rPr>
      </w:r>
      <w:r/>
    </w:p>
    <w:p>
      <w:pPr>
        <w:pStyle w:val="685"/>
        <w:ind w:firstLine="482"/>
        <w:spacing w:before="29" w:line="360" w:lineRule="auto"/>
        <w:rPr>
          <w:rFonts w:ascii="宋体" w:hAnsi="宋体"/>
          <w:b/>
          <w:sz w:val="24"/>
          <w:highlight w:val="none"/>
        </w:rPr>
      </w:pPr>
      <w:r>
        <w:rPr>
          <w:rFonts w:hint="eastAsia" w:ascii="宋体" w:hAnsi="宋体"/>
          <w:b/>
          <w:sz w:val="24"/>
          <w:highlight w:val="none"/>
        </w:rPr>
        <w:t xml:space="preserve">（一）小微型企业价格扣除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bookmarkStart w:id="503" w:name="_Hlk106721217"/>
      <w:r>
        <w:rPr>
          <w:rFonts w:hint="eastAsia" w:ascii="宋体" w:hAnsi="宋体"/>
          <w:bCs/>
          <w:sz w:val="24"/>
          <w:highlight w:val="none"/>
        </w:rPr>
        <w:t xml:space="preserve">（1）</w:t>
      </w:r>
      <w:r>
        <w:rPr>
          <w:rFonts w:ascii="宋体" w:hAnsi="宋体"/>
          <w:bCs/>
          <w:sz w:val="24"/>
          <w:highlight w:val="none"/>
        </w:rPr>
        <w:t xml:space="preserve">对于经主管预算单位统筹后未预留份额专门面向中小企业采购的采购项目，以及预留份额项目中的非预留部分采购包，</w:t>
      </w:r>
      <w:r>
        <w:rPr>
          <w:rFonts w:hint="eastAsia" w:ascii="宋体" w:hAnsi="宋体"/>
          <w:b/>
          <w:sz w:val="24"/>
          <w:highlight w:val="none"/>
        </w:rPr>
        <w:t xml:space="preserve">如供应商拟提供的货物全部由符合政策要求的小型和微型企业制造，提供的服务全部由符合政策要求的小型和微型企业承接的，则给予</w:t>
      </w:r>
      <w:r>
        <w:rPr>
          <w:rFonts w:ascii="宋体" w:hAnsi="宋体"/>
          <w:b/>
          <w:sz w:val="24"/>
          <w:highlight w:val="none"/>
        </w:rPr>
        <w:t xml:space="preserve">10</w:t>
      </w:r>
      <w:r>
        <w:rPr>
          <w:rFonts w:hint="eastAsia" w:ascii="宋体" w:hAnsi="宋体"/>
          <w:b/>
          <w:sz w:val="24"/>
          <w:highlight w:val="none"/>
        </w:rPr>
        <w:t xml:space="preserve">%的扣除价格，用扣除后的价格参与评审</w:t>
      </w:r>
      <w:r>
        <w:rPr>
          <w:rFonts w:hint="eastAsia" w:ascii="宋体" w:hAnsi="宋体"/>
          <w:bCs/>
          <w:sz w:val="24"/>
          <w:highlight w:val="none"/>
        </w:rPr>
        <w:t xml:space="preserve">。</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（2）供应商需按照采购文件的要求提供相应的《企业声明函》。</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p>
    <w:p>
      <w:pPr>
        <w:pStyle w:val="685"/>
        <w:ind w:firstLine="482"/>
        <w:spacing w:before="29" w:line="360" w:lineRule="auto"/>
        <w:rPr>
          <w:rFonts w:ascii="宋体" w:hAnsi="宋体"/>
          <w:b/>
          <w:sz w:val="24"/>
          <w:highlight w:val="none"/>
        </w:rPr>
      </w:pPr>
      <w:r/>
      <w:bookmarkEnd w:id="503"/>
      <w:r>
        <w:rPr>
          <w:rFonts w:hint="eastAsia" w:ascii="宋体" w:hAnsi="宋体"/>
          <w:b/>
          <w:sz w:val="24"/>
          <w:highlight w:val="none"/>
        </w:rPr>
        <w:t xml:space="preserve">（二）残疾人福利单位价格扣除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85"/>
        <w:ind w:firstLine="482"/>
        <w:spacing w:before="29" w:line="360" w:lineRule="auto"/>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（1）本项目对监狱和戒毒企业（简称监狱企业）视同小型、微型企业，给予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w:t>
      </w:r>
      <w:r>
        <w:rPr>
          <w:rFonts w:ascii="宋体" w:hAnsi="宋体"/>
          <w:bCs/>
          <w:sz w:val="24"/>
          <w:highlight w:val="none"/>
        </w:rPr>
        <w:t xml:space="preserve">财库[2014]68号</w:t>
      </w:r>
      <w:r>
        <w:rPr>
          <w:rFonts w:hint="eastAsia" w:ascii="宋体" w:hAnsi="宋体"/>
          <w:bCs/>
          <w:sz w:val="24"/>
          <w:highlight w:val="none"/>
        </w:rPr>
        <w:t xml:space="preserve">）。</w:t>
      </w:r>
      <w:r>
        <w:rPr>
          <w:rFonts w:ascii="宋体" w:hAnsi="宋体"/>
          <w:bCs/>
          <w:sz w:val="24"/>
          <w:highlight w:val="none"/>
        </w:rPr>
      </w:r>
      <w:r/>
    </w:p>
    <w:p>
      <w:pPr>
        <w:pStyle w:val="685"/>
        <w:ind w:firstLine="482"/>
        <w:spacing w:before="29" w:line="360" w:lineRule="auto"/>
        <w:rPr>
          <w:rFonts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ascii="宋体" w:hAnsi="宋体"/>
          <w:bCs/>
          <w:sz w:val="24"/>
          <w:highlight w:val="none"/>
        </w:rPr>
      </w:r>
      <w:r/>
    </w:p>
    <w:p>
      <w:pPr>
        <w:pStyle w:val="685"/>
        <w:ind w:firstLine="482"/>
        <w:spacing w:before="29" w:line="360" w:lineRule="auto"/>
        <w:rPr>
          <w:rFonts w:ascii="宋体" w:hAnsi="宋体"/>
          <w:bCs/>
          <w:sz w:val="24"/>
          <w:highlight w:val="none"/>
        </w:rPr>
      </w:pPr>
      <w:r/>
      <w:bookmarkStart w:id="504" w:name="_Hlk60665602"/>
      <w:r>
        <w:rPr>
          <w:rFonts w:hint="eastAsia" w:ascii="宋体" w:hAnsi="宋体"/>
          <w:b/>
          <w:sz w:val="24"/>
          <w:highlight w:val="none"/>
        </w:rPr>
        <w:t xml:space="preserve">（五）</w:t>
      </w:r>
      <w:r>
        <w:rPr>
          <w:rFonts w:ascii="宋体" w:hAnsi="宋体"/>
          <w:bCs/>
          <w:sz w:val="24"/>
          <w:highlight w:val="none"/>
        </w:rPr>
        <w:t xml:space="preserve">接受大中型企业与小微企业</w:t>
      </w:r>
      <w:r>
        <w:rPr>
          <w:rFonts w:hint="eastAsia" w:ascii="宋体" w:hAnsi="宋体"/>
          <w:bCs/>
          <w:sz w:val="24"/>
          <w:highlight w:val="none"/>
        </w:rPr>
        <w:t xml:space="preserve">（残疾人福利单位、监狱企业）</w:t>
      </w:r>
      <w:r>
        <w:rPr>
          <w:rFonts w:ascii="宋体" w:hAnsi="宋体"/>
          <w:bCs/>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sz w:val="24"/>
          <w:highlight w:val="none"/>
        </w:rPr>
        <w:t xml:space="preserve">（残疾人福利单位、监狱企业）</w:t>
      </w:r>
      <w:r>
        <w:rPr>
          <w:rFonts w:ascii="宋体" w:hAnsi="宋体"/>
          <w:bCs/>
          <w:sz w:val="24"/>
          <w:highlight w:val="none"/>
        </w:rPr>
        <w:t xml:space="preserve">的合同份额占到合同总金额 30%以上的，对联合体或者大中型企业的报价给予2%的扣除，用扣除后的价格参加评审。</w:t>
      </w:r>
      <w:r>
        <w:rPr>
          <w:rFonts w:ascii="宋体" w:hAnsi="宋体"/>
          <w:bCs/>
          <w:sz w:val="24"/>
          <w:highlight w:val="none"/>
        </w:rPr>
      </w:r>
      <w:r/>
    </w:p>
    <w:p>
      <w:pPr>
        <w:pStyle w:val="685"/>
        <w:ind w:firstLine="482"/>
        <w:rPr>
          <w:rFonts w:hint="eastAsia" w:ascii="宋体" w:hAnsi="宋体" w:cs="宋体"/>
          <w:b/>
          <w:sz w:val="24"/>
          <w:highlight w:val="none"/>
        </w:rPr>
      </w:pPr>
      <w:r>
        <w:rPr>
          <w:rFonts w:hint="eastAsia" w:ascii="宋体" w:hAnsi="宋体" w:cs="宋体"/>
          <w:b/>
          <w:sz w:val="24"/>
          <w:highlight w:val="none"/>
        </w:rPr>
        <w:t xml:space="preserve">四、关于“强化政府采购异常低价审查的要求”</w:t>
      </w:r>
      <w:r>
        <w:rPr>
          <w:rFonts w:hint="eastAsia" w:ascii="宋体" w:hAnsi="宋体" w:cs="宋体"/>
          <w:b/>
          <w:sz w:val="24"/>
          <w:highlight w:val="none"/>
        </w:rPr>
      </w:r>
      <w:r/>
    </w:p>
    <w:p>
      <w:pPr>
        <w:pStyle w:val="685"/>
        <w:ind w:firstLine="723"/>
        <w:spacing w:line="360" w:lineRule="auto"/>
        <w:rPr>
          <w:rFonts w:hint="eastAsia" w:ascii="宋体" w:hAnsi="宋体" w:cs="宋体"/>
          <w:b/>
          <w:sz w:val="24"/>
          <w:szCs w:val="11"/>
          <w:highlight w:val="none"/>
        </w:rPr>
      </w:pPr>
      <w:r>
        <w:rPr>
          <w:rFonts w:hint="eastAsia" w:ascii="宋体" w:hAnsi="宋体" w:cs="宋体"/>
          <w:b/>
          <w:sz w:val="24"/>
          <w:szCs w:val="11"/>
          <w:highlight w:val="none"/>
        </w:rPr>
        <w:t xml:space="preserve">参照财库【2026】2号文《财政部关于推动解决政府采购异常低价问题的通知》执行，具体说明如下： </w:t>
      </w:r>
      <w:r>
        <w:rPr>
          <w:rFonts w:hint="eastAsia" w:ascii="宋体" w:hAnsi="宋体" w:cs="宋体"/>
          <w:b/>
          <w:sz w:val="24"/>
          <w:szCs w:val="11"/>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（一）采购人应当在采购文件中明确，政府采购评审中出现下列情形之一的，评审委员会应当启动异常低价投标（响应）审查程序：</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3.投标（响应）报价低于采购项目最高限价45%的，即投标（响应）报价&lt;采购项目最高限价×45%；</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highlight w:val="none"/>
        </w:rPr>
      </w:r>
      <w:r/>
    </w:p>
    <w:p>
      <w:pPr>
        <w:pStyle w:val="685"/>
        <w:ind w:firstLine="480"/>
        <w:jc w:val="left"/>
        <w:spacing w:line="360" w:lineRule="auto"/>
        <w:rPr>
          <w:rFonts w:hint="eastAsia" w:ascii="宋体" w:hAnsi="宋体" w:cs="宋体"/>
          <w:szCs w:val="21"/>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highlight w:val="none"/>
        </w:rPr>
      </w:r>
      <w:r/>
    </w:p>
    <w:p>
      <w:pPr>
        <w:pStyle w:val="686"/>
        <w:jc w:val="center"/>
        <w:spacing w:before="291" w:after="291"/>
        <w:rPr>
          <w:rFonts w:ascii="华文中宋" w:hAnsi="华文中宋" w:eastAsia="华文中宋"/>
          <w:b/>
          <w:sz w:val="36"/>
          <w:szCs w:val="36"/>
          <w:highlight w:val="none"/>
        </w:rPr>
      </w:pPr>
      <w:r/>
      <w:bookmarkEnd w:id="504"/>
      <w:r/>
      <w:bookmarkStart w:id="505" w:name="_Toc8485126"/>
      <w:r>
        <w:rPr>
          <w:rFonts w:ascii="华文中宋" w:hAnsi="华文中宋" w:eastAsia="华文中宋"/>
          <w:b/>
          <w:sz w:val="36"/>
          <w:szCs w:val="36"/>
          <w:highlight w:val="none"/>
        </w:rPr>
        <w:br w:type="page" w:clear="all"/>
      </w:r>
      <w:bookmarkStart w:id="506" w:name="_Toc9363440"/>
      <w:r/>
      <w:bookmarkStart w:id="507" w:name="_Toc12708986"/>
      <w:r/>
      <w:bookmarkStart w:id="508" w:name="_Toc12887277"/>
      <w:r/>
      <w:bookmarkStart w:id="509" w:name="_Toc18564"/>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w:t>
      </w:r>
      <w:bookmarkEnd w:id="478"/>
      <w:r/>
      <w:bookmarkEnd w:id="479"/>
      <w:r/>
      <w:bookmarkEnd w:id="480"/>
      <w:r>
        <w:rPr>
          <w:rFonts w:hint="eastAsia" w:ascii="华文中宋" w:hAnsi="华文中宋" w:eastAsia="华文中宋"/>
          <w:b/>
          <w:sz w:val="36"/>
          <w:szCs w:val="36"/>
          <w:highlight w:val="none"/>
        </w:rPr>
        <w:t xml:space="preserve">文件格式</w:t>
      </w:r>
      <w:bookmarkEnd w:id="505"/>
      <w:r/>
      <w:bookmarkEnd w:id="506"/>
      <w:r/>
      <w:bookmarkEnd w:id="507"/>
      <w:r/>
      <w:bookmarkEnd w:id="508"/>
      <w:r/>
      <w:bookmarkEnd w:id="509"/>
      <w:r>
        <w:rPr>
          <w:rFonts w:ascii="华文中宋" w:hAnsi="华文中宋" w:eastAsia="华文中宋"/>
          <w:b/>
          <w:sz w:val="36"/>
          <w:szCs w:val="36"/>
          <w:highlight w:val="none"/>
        </w:rPr>
      </w:r>
      <w:r/>
    </w:p>
    <w:p>
      <w:pPr>
        <w:pStyle w:val="685"/>
        <w:jc w:val="left"/>
        <w:rPr>
          <w:rFonts w:hint="eastAsia"/>
          <w:sz w:val="24"/>
          <w:highlight w:val="none"/>
        </w:rPr>
      </w:pPr>
      <w:r/>
      <w:bookmarkStart w:id="510" w:name="_Hlk18338237"/>
      <w:r>
        <w:rPr>
          <w:rFonts w:hint="eastAsia"/>
          <w:sz w:val="28"/>
          <w:szCs w:val="28"/>
          <w:highlight w:val="none"/>
        </w:rPr>
        <w:t xml:space="preserve">（注：投标文件格式内，格式要求盖章、签署的，应当正确盖章、签署）</w:t>
      </w:r>
      <w:r>
        <w:rPr>
          <w:rFonts w:hint="eastAsia"/>
          <w:sz w:val="24"/>
          <w:highlight w:val="none"/>
        </w:rPr>
      </w:r>
      <w:r/>
    </w:p>
    <w:p>
      <w:pPr>
        <w:pStyle w:val="685"/>
        <w:jc w:val="center"/>
        <w:rPr>
          <w:rFonts w:ascii="宋体" w:hAnsi="宋体"/>
          <w:b/>
          <w:sz w:val="72"/>
          <w:highlight w:val="none"/>
        </w:rPr>
      </w:pPr>
      <w:r/>
      <w:bookmarkEnd w:id="510"/>
      <w:r/>
      <w:bookmarkStart w:id="511" w:name="_Hlt26671244"/>
      <w:r/>
      <w:bookmarkEnd w:id="511"/>
      <w:r/>
      <w:bookmarkStart w:id="512" w:name="_Hlt26955039"/>
      <w:r/>
      <w:bookmarkEnd w:id="512"/>
      <w:r/>
      <w:bookmarkStart w:id="513" w:name="_Toc120614282"/>
      <w:r/>
      <w:bookmarkStart w:id="514" w:name="_Toc49090576"/>
      <w:r/>
      <w:bookmarkStart w:id="515" w:name="_Toc26554094"/>
      <w:r>
        <w:rPr>
          <w:rFonts w:ascii="宋体" w:hAnsi="宋体"/>
          <w:b/>
          <w:sz w:val="72"/>
          <w:highlight w:val="none"/>
        </w:rPr>
      </w:r>
      <w:r/>
    </w:p>
    <w:p>
      <w:pPr>
        <w:pStyle w:val="790"/>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685"/>
        <w:jc w:val="center"/>
        <w:spacing w:before="582"/>
        <w:rPr>
          <w:rFonts w:ascii="华文中宋" w:hAnsi="华文中宋" w:eastAsia="华文中宋"/>
          <w:b/>
          <w:sz w:val="36"/>
          <w:highlight w:val="none"/>
        </w:rPr>
      </w:pPr>
      <w:r>
        <w:rPr>
          <w:rFonts w:hint="eastAsia" w:ascii="华文中宋" w:hAnsi="华文中宋" w:eastAsia="华文中宋"/>
          <w:b/>
          <w:sz w:val="36"/>
          <w:highlight w:val="none"/>
        </w:rPr>
        <w:t xml:space="preserve">（正或副本）</w:t>
      </w:r>
      <w:r>
        <w:rPr>
          <w:rFonts w:ascii="华文中宋" w:hAnsi="华文中宋" w:eastAsia="华文中宋"/>
          <w:b/>
          <w:sz w:val="36"/>
          <w:highlight w:val="none"/>
        </w:rPr>
      </w:r>
      <w:r/>
    </w:p>
    <w:p>
      <w:pPr>
        <w:pStyle w:val="685"/>
        <w:rPr>
          <w:rFonts w:ascii="华文中宋" w:hAnsi="华文中宋" w:eastAsia="华文中宋"/>
          <w:b/>
          <w:sz w:val="72"/>
          <w:highlight w:val="none"/>
        </w:rPr>
      </w:pPr>
      <w:r>
        <w:rPr>
          <w:rFonts w:ascii="华文中宋" w:hAnsi="华文中宋" w:eastAsia="华文中宋"/>
          <w:b/>
          <w:sz w:val="72"/>
          <w:highlight w:val="none"/>
        </w:rPr>
      </w:r>
      <w:r/>
    </w:p>
    <w:p>
      <w:pPr>
        <w:pStyle w:val="685"/>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685"/>
        <w:jc w:val="center"/>
        <w:rPr>
          <w:rFonts w:ascii="华文中宋" w:hAnsi="华文中宋" w:eastAsia="华文中宋"/>
          <w:b/>
          <w:sz w:val="36"/>
          <w:highlight w:val="none"/>
        </w:rPr>
      </w:pPr>
      <w:r>
        <w:rPr>
          <w:rFonts w:ascii="华文中宋" w:hAnsi="华文中宋" w:eastAsia="华文中宋"/>
          <w:b/>
          <w:sz w:val="36"/>
          <w:highlight w:val="none"/>
        </w:rPr>
      </w:r>
      <w:r/>
    </w:p>
    <w:p>
      <w:pPr>
        <w:pStyle w:val="790"/>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516" w:name="_Hlk18338261"/>
      <w:r>
        <w:rPr>
          <w:rFonts w:hint="eastAsia" w:ascii="华文中宋" w:hAnsi="华文中宋" w:eastAsia="华文中宋"/>
          <w:sz w:val="32"/>
          <w:szCs w:val="22"/>
          <w:highlight w:val="none"/>
        </w:rPr>
        <w:t xml:space="preserve">（如有分包，需注明分包号）</w:t>
      </w:r>
      <w:bookmarkEnd w:id="516"/>
      <w:r>
        <w:rPr>
          <w:rFonts w:ascii="华文中宋" w:hAnsi="华文中宋" w:eastAsia="华文中宋"/>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供应商全称（盖章）：</w:t>
      </w:r>
      <w:r>
        <w:rPr>
          <w:rFonts w:ascii="华文中宋" w:hAnsi="华文中宋" w:eastAsia="华文中宋"/>
          <w:b/>
          <w:bCs/>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宋体" w:hAnsi="宋体"/>
          <w:highlight w:val="none"/>
        </w:rPr>
        <w:t xml:space="preserve"> </w:t>
      </w:r>
      <w:r>
        <w:rPr>
          <w:rFonts w:ascii="华文中宋" w:hAnsi="华文中宋" w:eastAsia="华文中宋"/>
          <w:b/>
          <w:bCs/>
          <w:sz w:val="36"/>
          <w:highlight w:val="none"/>
        </w:rPr>
      </w:r>
      <w:r/>
    </w:p>
    <w:p>
      <w:pPr>
        <w:pStyle w:val="685"/>
        <w:jc w:val="left"/>
        <w:widowControl/>
        <w:rPr>
          <w:rFonts w:ascii="宋体" w:hAnsi="宋体"/>
          <w:b/>
          <w:sz w:val="32"/>
          <w:szCs w:val="32"/>
          <w:highlight w:val="none"/>
        </w:rPr>
      </w:pPr>
      <w:r>
        <w:rPr>
          <w:rFonts w:ascii="宋体" w:hAnsi="宋体"/>
          <w:b/>
          <w:sz w:val="32"/>
          <w:szCs w:val="32"/>
          <w:highlight w:val="none"/>
        </w:rPr>
      </w:r>
      <w:r/>
    </w:p>
    <w:p>
      <w:pPr>
        <w:pStyle w:val="688"/>
        <w:jc w:val="center"/>
        <w:rPr>
          <w:highlight w:val="none"/>
        </w:rPr>
      </w:pPr>
      <w:r>
        <w:rPr>
          <w:highlight w:val="none"/>
        </w:rPr>
        <w:br w:type="page" w:clear="all"/>
      </w:r>
      <w:r>
        <w:rPr>
          <w:rFonts w:hint="eastAsia"/>
          <w:highlight w:val="none"/>
        </w:rPr>
        <w:t xml:space="preserve">投标主要文件目录</w:t>
      </w:r>
      <w:r>
        <w:rPr>
          <w:highlight w:val="none"/>
        </w:rPr>
      </w:r>
      <w:r/>
    </w:p>
    <w:p>
      <w:pPr>
        <w:pStyle w:val="685"/>
        <w:jc w:val="center"/>
        <w:spacing w:line="440" w:lineRule="exact"/>
        <w:rPr>
          <w:rFonts w:ascii="宋体" w:hAnsi="宋体"/>
          <w:b/>
          <w:bCs/>
          <w:sz w:val="32"/>
          <w:szCs w:val="32"/>
          <w:highlight w:val="none"/>
        </w:rPr>
      </w:pPr>
      <w:r>
        <w:rPr>
          <w:rFonts w:ascii="宋体" w:hAnsi="宋体"/>
          <w:b/>
          <w:bCs/>
          <w:sz w:val="32"/>
          <w:szCs w:val="32"/>
          <w:highlight w:val="none"/>
        </w:rPr>
      </w:r>
      <w:r/>
    </w:p>
    <w:p>
      <w:pPr>
        <w:pStyle w:val="685"/>
        <w:spacing w:line="720" w:lineRule="auto"/>
        <w:rPr>
          <w:rFonts w:ascii="宋体" w:hAnsi="宋体"/>
          <w:b/>
          <w:sz w:val="24"/>
          <w:highlight w:val="none"/>
        </w:rPr>
      </w:pPr>
      <w:r/>
      <w:bookmarkStart w:id="517" w:name="_Hlk44877818"/>
      <w:r>
        <w:rPr>
          <w:rFonts w:hint="eastAsia" w:ascii="宋体" w:hAnsi="宋体"/>
          <w:b/>
          <w:sz w:val="24"/>
          <w:highlight w:val="none"/>
        </w:rPr>
        <w:t xml:space="preserve">一、评分索引表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二、资格性审查响应对照表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三、符合性审查响应对照表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四、开标一览表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五、投标配置与分项报价表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六、</w:t>
      </w:r>
      <w:bookmarkStart w:id="518" w:name="_Hlk45478944"/>
      <w:r>
        <w:rPr>
          <w:rFonts w:hint="eastAsia" w:ascii="宋体" w:hAnsi="宋体"/>
          <w:b/>
          <w:sz w:val="24"/>
          <w:highlight w:val="none"/>
        </w:rPr>
        <w:t xml:space="preserve">项目技术及商务需求响应及偏离表</w:t>
      </w:r>
      <w:bookmarkEnd w:id="518"/>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七、附件</w:t>
      </w:r>
      <w:r>
        <w:rPr>
          <w:rFonts w:ascii="宋体" w:hAnsi="宋体"/>
          <w:b/>
          <w:sz w:val="24"/>
          <w:highlight w:val="none"/>
        </w:rPr>
        <w:t xml:space="preserve">………………………………………………………………………………………</w:t>
      </w:r>
      <w:r>
        <w:rPr>
          <w:rFonts w:ascii="宋体" w:hAnsi="宋体"/>
          <w:b/>
          <w:sz w:val="24"/>
          <w:highlight w:val="none"/>
        </w:rPr>
      </w:r>
      <w:r/>
    </w:p>
    <w:p>
      <w:pPr>
        <w:pStyle w:val="685"/>
        <w:ind w:firstLine="480"/>
        <w:spacing w:line="440" w:lineRule="exact"/>
        <w:rPr>
          <w:rFonts w:ascii="宋体" w:hAnsi="宋体"/>
          <w:sz w:val="24"/>
          <w:highlight w:val="none"/>
        </w:rPr>
      </w:pPr>
      <w:r>
        <w:rPr>
          <w:rFonts w:ascii="宋体" w:hAnsi="宋体"/>
          <w:sz w:val="24"/>
          <w:highlight w:val="none"/>
        </w:rPr>
      </w:r>
      <w:r/>
    </w:p>
    <w:p>
      <w:pPr>
        <w:pStyle w:val="687"/>
        <w:spacing w:before="291" w:after="145" w:line="360" w:lineRule="auto"/>
        <w:rPr>
          <w:rFonts w:ascii="宋体" w:hAnsi="宋体"/>
          <w:b w:val="0"/>
          <w:sz w:val="32"/>
          <w:szCs w:val="32"/>
          <w:highlight w:val="none"/>
        </w:rPr>
      </w:pPr>
      <w:r>
        <w:rPr>
          <w:rFonts w:ascii="宋体" w:hAnsi="宋体"/>
          <w:sz w:val="24"/>
          <w:highlight w:val="none"/>
        </w:rPr>
        <w:br w:type="page" w:clear="all"/>
      </w:r>
      <w:bookmarkStart w:id="519" w:name="_Toc12887278"/>
      <w:r/>
      <w:bookmarkStart w:id="520" w:name="_Toc974"/>
      <w:r/>
      <w:bookmarkStart w:id="521" w:name="_Toc8485127"/>
      <w:r/>
      <w:bookmarkStart w:id="522" w:name="_Toc12708987"/>
      <w:r/>
      <w:bookmarkStart w:id="523" w:name="_Toc9363441"/>
      <w:r>
        <w:rPr>
          <w:rFonts w:hint="eastAsia" w:ascii="宋体" w:hAnsi="宋体" w:eastAsia="宋体"/>
          <w:sz w:val="32"/>
          <w:szCs w:val="32"/>
          <w:highlight w:val="none"/>
        </w:rPr>
        <w:t xml:space="preserve">一、评分索引表</w:t>
      </w:r>
      <w:bookmarkEnd w:id="519"/>
      <w:r/>
      <w:bookmarkEnd w:id="520"/>
      <w:r>
        <w:rPr>
          <w:rFonts w:ascii="宋体" w:hAnsi="宋体"/>
          <w:b w:val="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796"/>
              <w:ind w:left="420"/>
              <w:jc w:val="center"/>
              <w:spacing w:line="265" w:lineRule="atLeast"/>
              <w:shd w:val="clear" w:color="auto" w:fill="ffffff"/>
              <w:rPr>
                <w:rFonts w:ascii="宋体" w:hAnsi="宋体"/>
                <w:b/>
                <w:bCs/>
                <w:highlight w:val="none"/>
                <w:lang w:eastAsia="zh-CN"/>
              </w:rPr>
            </w:pPr>
            <w:r>
              <w:rPr>
                <w:rFonts w:hint="eastAsia" w:ascii="宋体" w:hAnsi="宋体"/>
                <w:b/>
                <w:highlight w:val="none"/>
              </w:rPr>
              <w:t xml:space="preserve">评分项目</w:t>
            </w:r>
            <w:r>
              <w:rPr>
                <w:rFonts w:ascii="宋体" w:hAnsi="宋体"/>
                <w:b/>
                <w:bCs/>
                <w:highlight w:val="none"/>
                <w:lang w:eastAsia="zh-CN"/>
              </w:rPr>
            </w:r>
            <w:r/>
          </w:p>
        </w:tc>
        <w:tc>
          <w:tcPr>
            <w:tcW w:w="3190" w:type="dxa"/>
            <w:vAlign w:val="top"/>
            <w:textDirection w:val="lrTb"/>
            <w:noWrap w:val="false"/>
          </w:tcPr>
          <w:p>
            <w:pPr>
              <w:pStyle w:val="685"/>
              <w:jc w:val="center"/>
              <w:rPr>
                <w:rFonts w:ascii="宋体" w:hAnsi="宋体"/>
                <w:b/>
                <w:sz w:val="24"/>
                <w:highlight w:val="none"/>
              </w:rPr>
            </w:pPr>
            <w:r>
              <w:rPr>
                <w:rFonts w:hint="eastAsia" w:ascii="宋体" w:hAnsi="宋体"/>
                <w:b/>
                <w:sz w:val="24"/>
                <w:highlight w:val="none"/>
                <w:lang w:bidi="en-US"/>
              </w:rPr>
              <w:t xml:space="preserve">在投标文件中的页码位置</w:t>
            </w:r>
            <w:r>
              <w:rPr>
                <w:rFonts w:ascii="宋体" w:hAnsi="宋体"/>
                <w:b/>
                <w:sz w:val="24"/>
                <w:highlight w:val="none"/>
              </w:rPr>
            </w:r>
            <w:r/>
          </w:p>
        </w:tc>
      </w:tr>
      <w:tr>
        <w:trPr>
          <w:trHeight w:val="446"/>
        </w:trPr>
        <w:tc>
          <w:tcPr>
            <w:tcW w:w="5628" w:type="dxa"/>
            <w:vAlign w:val="top"/>
            <w:textDirection w:val="lrTb"/>
            <w:noWrap w:val="false"/>
          </w:tcPr>
          <w:p>
            <w:pPr>
              <w:pStyle w:val="796"/>
              <w:ind w:left="0"/>
              <w:jc w:val="both"/>
              <w:shd w:val="clear" w:color="auto" w:fill="ffffff"/>
              <w:rPr>
                <w:rFonts w:hint="eastAsia" w:ascii="宋体" w:hAnsi="宋体"/>
                <w:bCs/>
                <w:highlight w:val="none"/>
                <w:lang w:eastAsia="zh-CN"/>
              </w:rPr>
            </w:pPr>
            <w:r>
              <w:rPr>
                <w:rFonts w:ascii="宋体" w:hAnsi="宋体" w:cs="宋体"/>
                <w:highlight w:val="none"/>
                <w:lang w:eastAsia="zh-CN"/>
              </w:rPr>
              <w:t xml:space="preserve">******</w:t>
            </w:r>
            <w:r>
              <w:rPr>
                <w:rFonts w:ascii="宋体" w:hAnsi="宋体"/>
                <w:bCs/>
                <w:highlight w:val="none"/>
                <w:lang w:eastAsia="zh-CN"/>
              </w:rPr>
              <w:t xml:space="preserve"> (</w:t>
            </w:r>
            <w:r>
              <w:rPr>
                <w:rFonts w:hint="eastAsia" w:ascii="宋体" w:hAnsi="宋体"/>
                <w:bCs/>
                <w:highlight w:val="none"/>
                <w:lang w:eastAsia="zh-CN"/>
              </w:rPr>
              <w:t xml:space="preserve">根据本招标文件第五章的“评标标准”中评分项依次填列</w:t>
            </w:r>
            <w:r>
              <w:rPr>
                <w:rFonts w:ascii="宋体" w:hAnsi="宋体"/>
                <w:bCs/>
                <w:highlight w:val="none"/>
                <w:lang w:eastAsia="zh-CN"/>
              </w:rPr>
              <w:t xml:space="preserve">)</w:t>
            </w:r>
            <w:r>
              <w:rPr>
                <w:rFonts w:hint="eastAsia" w:ascii="宋体" w:hAnsi="宋体"/>
                <w:bCs/>
                <w:highlight w:val="none"/>
                <w:lang w:eastAsia="zh-CN"/>
              </w:rPr>
            </w:r>
            <w:r/>
          </w:p>
        </w:tc>
        <w:tc>
          <w:tcPr>
            <w:tcW w:w="3190" w:type="dxa"/>
            <w:vAlign w:val="top"/>
            <w:textDirection w:val="lrTb"/>
            <w:noWrap w:val="false"/>
          </w:tcPr>
          <w:p>
            <w:pPr>
              <w:pStyle w:val="685"/>
              <w:rPr>
                <w:rFonts w:ascii="宋体" w:hAnsi="宋体"/>
                <w:b/>
                <w:sz w:val="24"/>
                <w:highlight w:val="none"/>
                <w:lang w:bidi="en-US"/>
              </w:rPr>
            </w:pPr>
            <w:r>
              <w:rPr>
                <w:rFonts w:ascii="宋体" w:hAnsi="宋体"/>
                <w:b/>
                <w:sz w:val="24"/>
                <w:highlight w:val="none"/>
                <w:lang w:bidi="en-US"/>
              </w:rPr>
            </w:r>
            <w:r/>
          </w:p>
        </w:tc>
      </w:tr>
      <w:tr>
        <w:trPr>
          <w:trHeight w:val="320"/>
        </w:trPr>
        <w:tc>
          <w:tcPr>
            <w:tcW w:w="5628" w:type="dxa"/>
            <w:vAlign w:val="top"/>
            <w:textDirection w:val="lrTb"/>
            <w:noWrap w:val="false"/>
          </w:tcPr>
          <w:p>
            <w:pPr>
              <w:pStyle w:val="796"/>
              <w:ind w:left="0"/>
              <w:spacing w:line="265" w:lineRule="atLeast"/>
              <w:shd w:val="clear" w:color="auto" w:fill="ffffff"/>
              <w:rPr>
                <w:rFonts w:hint="eastAsia" w:ascii="宋体" w:hAnsi="宋体"/>
                <w:highlight w:val="none"/>
                <w:lang w:eastAsia="zh-CN"/>
              </w:rPr>
            </w:pPr>
            <w:r>
              <w:rPr>
                <w:rFonts w:hint="eastAsia"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60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1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9"/>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78"/>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69"/>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bl>
    <w:p>
      <w:pPr>
        <w:pStyle w:val="685"/>
        <w:rPr>
          <w:highlight w:val="none"/>
        </w:rPr>
      </w:pPr>
      <w:r/>
      <w:bookmarkStart w:id="524" w:name="_Toc12887280"/>
      <w:r/>
      <w:bookmarkStart w:id="525" w:name="_Toc12887279"/>
      <w:r>
        <w:rPr>
          <w:highlight w:val="none"/>
        </w:rPr>
      </w:r>
      <w:r/>
    </w:p>
    <w:p>
      <w:pPr>
        <w:pStyle w:val="687"/>
        <w:spacing w:before="0" w:after="0" w:line="360" w:lineRule="auto"/>
        <w:rPr>
          <w:rFonts w:hint="eastAsia" w:ascii="宋体" w:hAnsi="宋体" w:eastAsia="宋体"/>
          <w:sz w:val="32"/>
          <w:szCs w:val="32"/>
          <w:highlight w:val="none"/>
        </w:rPr>
      </w:pPr>
      <w:r>
        <w:rPr>
          <w:rFonts w:ascii="宋体" w:hAnsi="宋体" w:eastAsia="宋体"/>
          <w:sz w:val="32"/>
          <w:szCs w:val="32"/>
          <w:highlight w:val="none"/>
        </w:rPr>
        <w:br w:type="page" w:clear="all"/>
      </w:r>
      <w:bookmarkStart w:id="526" w:name="_Toc30092"/>
      <w:r>
        <w:rPr>
          <w:rFonts w:hint="eastAsia" w:ascii="宋体" w:hAnsi="宋体" w:eastAsia="宋体"/>
          <w:sz w:val="32"/>
          <w:szCs w:val="32"/>
          <w:highlight w:val="none"/>
        </w:rPr>
        <w:t xml:space="preserve">二、资格审查响应对照表</w:t>
      </w:r>
      <w:bookmarkEnd w:id="524"/>
      <w:r/>
      <w:bookmarkEnd w:id="526"/>
      <w:r/>
      <w:bookmarkStart w:id="527" w:name="_Hlk47431668"/>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5"/>
              <w:jc w:val="center"/>
              <w:rPr>
                <w:rFonts w:ascii="宋体" w:hAnsi="宋体"/>
                <w:b/>
                <w:sz w:val="24"/>
                <w:highlight w:val="none"/>
              </w:rPr>
            </w:pPr>
            <w:r/>
            <w:bookmarkStart w:id="528" w:name="_Hlk13225942"/>
            <w:r>
              <w:rPr>
                <w:rFonts w:hint="eastAsia" w:ascii="宋体" w:hAnsi="宋体"/>
                <w:b/>
                <w:sz w:val="24"/>
                <w:highlight w:val="none"/>
              </w:rPr>
              <w:t xml:space="preserve">序号</w:t>
            </w:r>
            <w:r>
              <w:rPr>
                <w:rFonts w:ascii="宋体" w:hAnsi="宋体"/>
                <w:b/>
                <w:sz w:val="24"/>
                <w:highlight w:val="none"/>
              </w:rPr>
            </w:r>
            <w:r/>
          </w:p>
        </w:tc>
        <w:tc>
          <w:tcPr>
            <w:tcW w:w="6430"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资格审查响应内容</w:t>
            </w:r>
            <w:r>
              <w:rPr>
                <w:rFonts w:ascii="宋体" w:hAnsi="宋体"/>
                <w:b/>
                <w:sz w:val="24"/>
                <w:highlight w:val="none"/>
              </w:rPr>
            </w:r>
            <w:r/>
          </w:p>
        </w:tc>
        <w:tc>
          <w:tcPr>
            <w:tcW w:w="709"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投标文件中的页码位置</w:t>
            </w:r>
            <w:r>
              <w:rPr>
                <w:rFonts w:ascii="宋体" w:hAnsi="宋体"/>
                <w:b/>
                <w:szCs w:val="21"/>
                <w:highlight w:val="none"/>
              </w:rPr>
            </w:r>
            <w:r/>
          </w:p>
        </w:tc>
      </w:tr>
      <w:tr>
        <w:trPr>
          <w:cantSplit/>
          <w:trHeight w:val="20"/>
        </w:trPr>
        <w:tc>
          <w:tcPr>
            <w:tcW w:w="658"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b/>
                <w:sz w:val="24"/>
                <w:highlight w:val="none"/>
              </w:rPr>
            </w:pPr>
            <w:r>
              <w:rPr>
                <w:rFonts w:ascii="宋体" w:hAnsi="宋体"/>
                <w:b/>
                <w:sz w:val="24"/>
                <w:highlight w:val="none"/>
              </w:rPr>
            </w:r>
            <w:r/>
          </w:p>
        </w:tc>
        <w:tc>
          <w:tcPr>
            <w:tcW w:w="1417" w:type="dxa"/>
            <w:vAlign w:val="center"/>
            <w:textDirection w:val="lrTb"/>
            <w:noWrap w:val="false"/>
          </w:tcPr>
          <w:p>
            <w:pPr>
              <w:pStyle w:val="685"/>
              <w:rPr>
                <w:rFonts w:ascii="宋体" w:hAnsi="宋体"/>
                <w:b/>
                <w:sz w:val="24"/>
                <w:highlight w:val="none"/>
              </w:rPr>
            </w:pPr>
            <w:r>
              <w:rPr>
                <w:rFonts w:ascii="宋体" w:hAnsi="宋体"/>
                <w:b/>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bookmarkStart w:id="529" w:name="_Hlk87459814"/>
            <w:r>
              <w:rPr>
                <w:rFonts w:hint="eastAsia" w:ascii="宋体" w:hAnsi="宋体" w:cs="宋体"/>
                <w:sz w:val="24"/>
                <w:highlight w:val="none"/>
              </w:rPr>
              <w:t xml:space="preserve">...</w:t>
            </w: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bl>
    <w:p>
      <w:pPr>
        <w:pStyle w:val="685"/>
        <w:jc w:val="left"/>
        <w:spacing w:before="145" w:line="400" w:lineRule="exact"/>
        <w:rPr>
          <w:highlight w:val="none"/>
        </w:rPr>
      </w:pPr>
      <w:r/>
      <w:bookmarkEnd w:id="528"/>
      <w:r/>
      <w:bookmarkEnd w:id="529"/>
      <w:r>
        <w:rPr>
          <w:rFonts w:hint="eastAsia" w:ascii="宋体" w:hAnsi="宋体"/>
          <w:b/>
          <w:sz w:val="24"/>
          <w:highlight w:val="none"/>
        </w:rPr>
        <w:t xml:space="preserve">备注：</w:t>
      </w:r>
      <w:r>
        <w:rPr>
          <w:rFonts w:hint="eastAsia" w:ascii="宋体" w:hAnsi="宋体"/>
          <w:b/>
          <w:i/>
          <w:sz w:val="24"/>
          <w:highlight w:val="none"/>
          <w:u w:val="single"/>
        </w:rPr>
        <w:t xml:space="preserve">以上资格证明文件中要求盖章的，必须加盖公章。</w:t>
      </w:r>
      <w:r>
        <w:rPr>
          <w:highlight w:val="none"/>
        </w:rPr>
        <w:t xml:space="preserve"> </w:t>
      </w:r>
      <w:r>
        <w:rPr>
          <w:highlight w:val="none"/>
        </w:rPr>
      </w:r>
      <w:r/>
    </w:p>
    <w:p>
      <w:pPr>
        <w:pStyle w:val="687"/>
        <w:spacing w:before="291" w:after="145" w:line="360" w:lineRule="auto"/>
        <w:rPr>
          <w:rFonts w:hint="eastAsia" w:ascii="宋体" w:hAnsi="宋体" w:eastAsia="宋体"/>
          <w:sz w:val="32"/>
          <w:szCs w:val="32"/>
          <w:highlight w:val="none"/>
        </w:rPr>
      </w:pPr>
      <w:r>
        <w:rPr>
          <w:highlight w:val="none"/>
        </w:rPr>
        <w:br w:type="page" w:clear="all"/>
      </w:r>
      <w:bookmarkEnd w:id="527"/>
      <w:r/>
      <w:bookmarkStart w:id="530" w:name="_Toc14258"/>
      <w:r>
        <w:rPr>
          <w:rFonts w:hint="eastAsia" w:ascii="宋体" w:hAnsi="宋体" w:eastAsia="宋体"/>
          <w:sz w:val="32"/>
          <w:szCs w:val="32"/>
          <w:highlight w:val="none"/>
        </w:rPr>
        <w:t xml:space="preserve">三、符合性审查响应对照表</w:t>
      </w:r>
      <w:bookmarkEnd w:id="530"/>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526"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709"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bl>
    <w:p>
      <w:pPr>
        <w:pStyle w:val="685"/>
        <w:rPr>
          <w:sz w:val="24"/>
          <w:highlight w:val="none"/>
        </w:rPr>
      </w:pPr>
      <w:r/>
      <w:bookmarkStart w:id="531" w:name="_Hlk47433835"/>
      <w:r>
        <w:rPr>
          <w:rFonts w:hint="eastAsia"/>
          <w:b/>
          <w:sz w:val="24"/>
          <w:highlight w:val="none"/>
        </w:rPr>
        <w:t xml:space="preserve">备注：</w:t>
      </w:r>
      <w:r>
        <w:rPr>
          <w:rFonts w:hint="eastAsia"/>
          <w:sz w:val="24"/>
          <w:highlight w:val="none"/>
        </w:rPr>
        <w:t xml:space="preserve">如要求提供相应证明材料的，应在“备注”栏注明证明材料在投标文件中的页码位置；</w:t>
      </w:r>
      <w:bookmarkEnd w:id="531"/>
      <w:r>
        <w:rPr>
          <w:sz w:val="24"/>
          <w:highlight w:val="none"/>
        </w:rPr>
        <w:br w:type="page" w:clear="all"/>
      </w:r>
      <w:bookmarkEnd w:id="513"/>
      <w:r/>
      <w:bookmarkEnd w:id="514"/>
      <w:r/>
      <w:bookmarkEnd w:id="515"/>
      <w:r/>
      <w:bookmarkEnd w:id="521"/>
      <w:r/>
      <w:bookmarkEnd w:id="522"/>
      <w:r/>
      <w:bookmarkEnd w:id="523"/>
      <w:r/>
      <w:bookmarkEnd w:id="525"/>
      <w:r/>
      <w:bookmarkStart w:id="532" w:name="_Toc120614284"/>
      <w:r>
        <w:rPr>
          <w:sz w:val="24"/>
          <w:highlight w:val="none"/>
        </w:rPr>
      </w:r>
      <w:r/>
    </w:p>
    <w:p>
      <w:pPr>
        <w:pStyle w:val="688"/>
        <w:jc w:val="center"/>
        <w:spacing w:before="291" w:after="436" w:line="360" w:lineRule="auto"/>
        <w:rPr>
          <w:rFonts w:ascii="宋体" w:hAnsi="宋体"/>
          <w:bCs/>
          <w:highlight w:val="none"/>
        </w:rPr>
      </w:pPr>
      <w:r/>
      <w:bookmarkStart w:id="533" w:name="_Hlk87459952"/>
      <w:r>
        <w:rPr>
          <w:rFonts w:hint="eastAsia" w:ascii="宋体" w:hAnsi="宋体"/>
          <w:highlight w:val="none"/>
        </w:rPr>
        <w:t xml:space="preserve">具备履行合同所必需的设备和专业技术能力的书面声明</w:t>
      </w:r>
      <w:r>
        <w:rPr>
          <w:rFonts w:ascii="宋体" w:hAnsi="宋体"/>
          <w:bCs/>
          <w:highlight w:val="none"/>
        </w:rPr>
      </w:r>
      <w:r/>
    </w:p>
    <w:p>
      <w:pPr>
        <w:pStyle w:val="685"/>
        <w:ind w:firstLine="480"/>
        <w:spacing w:before="58"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hint="eastAsia" w:ascii="宋体" w:hAnsi="宋体"/>
          <w:bCs/>
          <w:sz w:val="24"/>
          <w:highlight w:val="none"/>
        </w:rPr>
        <w:t xml:space="preserve">主要设备有：</w:t>
      </w:r>
      <w:bookmarkStart w:id="534" w:name="_Hlk14868056"/>
      <w:r>
        <w:rPr>
          <w:rFonts w:hint="eastAsia" w:ascii="宋体" w:hAnsi="宋体"/>
          <w:bCs/>
          <w:sz w:val="24"/>
          <w:highlight w:val="none"/>
        </w:rPr>
        <w:t xml:space="preserve">******</w:t>
      </w:r>
      <w:bookmarkEnd w:id="534"/>
      <w:r>
        <w:rPr>
          <w:rFonts w:ascii="宋体" w:hAnsi="宋体"/>
          <w:bCs/>
          <w:sz w:val="24"/>
          <w:highlight w:val="none"/>
        </w:rPr>
      </w:r>
      <w:r/>
    </w:p>
    <w:p>
      <w:pPr>
        <w:pStyle w:val="685"/>
        <w:ind w:firstLine="480"/>
        <w:spacing w:before="58" w:line="360" w:lineRule="auto"/>
        <w:rPr>
          <w:rFonts w:hint="eastAsia" w:ascii="宋体" w:hAnsi="宋体" w:eastAsia="宋体"/>
          <w:bCs/>
          <w:sz w:val="24"/>
          <w:highlight w:val="none"/>
          <w:lang w:eastAsia="zh-CN"/>
        </w:rPr>
      </w:pPr>
      <w:r>
        <w:rPr>
          <w:rFonts w:hint="eastAsia" w:ascii="宋体" w:hAnsi="宋体"/>
          <w:bCs/>
          <w:sz w:val="24"/>
          <w:highlight w:val="none"/>
        </w:rPr>
        <w:t xml:space="preserve">主要专业技术能力有：******</w:t>
      </w:r>
      <w:r>
        <w:rPr>
          <w:rFonts w:hint="eastAsia" w:ascii="宋体" w:hAnsi="宋体" w:eastAsia="宋体"/>
          <w:bCs/>
          <w:sz w:val="24"/>
          <w:highlight w:val="none"/>
          <w:lang w:eastAsia="zh-CN"/>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685"/>
        <w:ind w:firstLine="480"/>
        <w:spacing w:before="145" w:line="400" w:lineRule="exact"/>
        <w:rPr>
          <w:rFonts w:ascii="宋体" w:hAnsi="宋体"/>
          <w:bCs/>
          <w:sz w:val="24"/>
          <w:highlight w:val="none"/>
        </w:rPr>
      </w:pPr>
      <w:r>
        <w:rPr>
          <w:rFonts w:ascii="宋体" w:hAnsi="宋体"/>
          <w:bCs/>
          <w:sz w:val="24"/>
          <w:highlight w:val="none"/>
        </w:rPr>
      </w:r>
      <w:r/>
    </w:p>
    <w:p>
      <w:pPr>
        <w:pStyle w:val="685"/>
        <w:ind w:firstLine="480"/>
        <w:spacing w:before="145" w:line="400" w:lineRule="exact"/>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r>
      <w:r/>
    </w:p>
    <w:p>
      <w:pPr>
        <w:pStyle w:val="685"/>
        <w:jc w:val="left"/>
        <w:widowControl/>
        <w:rPr>
          <w:rFonts w:hint="eastAsia" w:ascii="宋体" w:hAnsi="宋体"/>
          <w:bCs/>
          <w:sz w:val="24"/>
          <w:highlight w:val="none"/>
        </w:rPr>
      </w:pPr>
      <w:r>
        <w:rPr>
          <w:rFonts w:hint="eastAsia" w:ascii="宋体" w:hAnsi="宋体"/>
          <w:bCs/>
          <w:sz w:val="24"/>
          <w:highlight w:val="none"/>
        </w:rPr>
      </w:r>
      <w:r/>
    </w:p>
    <w:p>
      <w:pPr>
        <w:pStyle w:val="685"/>
        <w:spacing w:line="360" w:lineRule="auto"/>
        <w:rPr>
          <w:highlight w:val="none"/>
        </w:rPr>
      </w:pPr>
      <w:r>
        <w:rPr>
          <w:highlight w:val="none"/>
        </w:rPr>
        <w:br w:type="page" w:clear="all"/>
      </w:r>
      <w:r>
        <w:rPr>
          <w:highlight w:val="none"/>
        </w:rPr>
      </w:r>
      <w:r/>
    </w:p>
    <w:p>
      <w:pPr>
        <w:pStyle w:val="685"/>
        <w:spacing w:line="360" w:lineRule="auto"/>
        <w:rPr>
          <w:highlight w:val="none"/>
        </w:rPr>
      </w:pPr>
      <w:r>
        <w:rPr>
          <w:highlight w:val="none"/>
        </w:rPr>
      </w:r>
      <w:r/>
    </w:p>
    <w:p>
      <w:pPr>
        <w:pStyle w:val="688"/>
        <w:jc w:val="center"/>
        <w:spacing w:before="291" w:after="436" w:line="360" w:lineRule="auto"/>
        <w:rPr>
          <w:rFonts w:ascii="宋体" w:hAnsi="宋体"/>
          <w:bCs/>
          <w:highlight w:val="none"/>
        </w:rPr>
      </w:pPr>
      <w:r>
        <w:rPr>
          <w:rFonts w:hint="eastAsia" w:ascii="宋体" w:hAnsi="宋体"/>
          <w:highlight w:val="none"/>
        </w:rPr>
        <w:t xml:space="preserve">参加本次政府采购活动前3年内在经营活动中没有重大违法记录的书面声明</w:t>
      </w:r>
      <w:r>
        <w:rPr>
          <w:rFonts w:ascii="宋体" w:hAnsi="宋体"/>
          <w:bCs/>
          <w:highlight w:val="none"/>
        </w:rPr>
      </w:r>
      <w:r/>
    </w:p>
    <w:p>
      <w:pPr>
        <w:pStyle w:val="685"/>
        <w:ind w:firstLine="480"/>
        <w:spacing w:before="58" w:line="480" w:lineRule="auto"/>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ascii="宋体" w:hAnsi="宋体"/>
          <w:bCs/>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hint="eastAsia" w:ascii="宋体" w:hAnsi="宋体"/>
          <w:sz w:val="24"/>
          <w:highlight w:val="none"/>
        </w:rPr>
      </w:pPr>
      <w:r>
        <w:rPr>
          <w:rFonts w:hint="eastAsia" w:ascii="宋体" w:hAnsi="宋体"/>
          <w:sz w:val="24"/>
          <w:highlight w:val="none"/>
        </w:rPr>
      </w:r>
      <w:r/>
    </w:p>
    <w:p>
      <w:pPr>
        <w:pStyle w:val="688"/>
        <w:jc w:val="center"/>
        <w:spacing w:before="291" w:after="436" w:line="360" w:lineRule="auto"/>
        <w:rPr>
          <w:rFonts w:ascii="黑体" w:hAnsi="宋体" w:eastAsia="黑体"/>
          <w:b w:val="0"/>
          <w:bCs/>
          <w:sz w:val="30"/>
          <w:szCs w:val="30"/>
          <w:highlight w:val="none"/>
        </w:rPr>
      </w:pPr>
      <w:r/>
      <w:bookmarkEnd w:id="533"/>
      <w:r>
        <w:rPr>
          <w:rFonts w:hint="eastAsia" w:ascii="宋体" w:hAnsi="宋体"/>
          <w:highlight w:val="none"/>
        </w:rPr>
        <w:t xml:space="preserve">法人授权书</w:t>
      </w:r>
      <w:r>
        <w:rPr>
          <w:rFonts w:ascii="黑体" w:hAnsi="宋体" w:eastAsia="黑体"/>
          <w:b w:val="0"/>
          <w:bCs/>
          <w:sz w:val="30"/>
          <w:szCs w:val="30"/>
          <w:highlight w:val="none"/>
        </w:rPr>
      </w:r>
      <w:r/>
    </w:p>
    <w:p>
      <w:pPr>
        <w:pStyle w:val="814"/>
        <w:ind w:firstLine="480"/>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供应商全称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r>
        <w:rPr>
          <w:rFonts w:hint="eastAsia" w:ascii="宋体" w:hAnsi="宋体"/>
          <w:highlight w:val="none"/>
        </w:rPr>
        <w:t xml:space="preserve">_[被授权人的姓名</w:t>
      </w:r>
      <w:r>
        <w:rPr>
          <w:rFonts w:ascii="宋体" w:hAnsi="宋体"/>
          <w:highlight w:val="none"/>
        </w:rPr>
        <w:t xml:space="preserve">]</w:t>
      </w:r>
      <w:r>
        <w:rPr>
          <w:rFonts w:hint="eastAsia" w:ascii="宋体" w:hAnsi="宋体"/>
          <w:highlight w:val="none"/>
        </w:rPr>
        <w:t xml:space="preserve">__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项目名称、项目编号、分包号</w:t>
      </w:r>
      <w:r>
        <w:rPr>
          <w:rFonts w:ascii="宋体" w:hAnsi="宋体"/>
          <w:highlight w:val="none"/>
        </w:rPr>
        <w:t xml:space="preserve">]  </w:t>
      </w:r>
      <w:r>
        <w:rPr>
          <w:rFonts w:hint="eastAsia" w:ascii="宋体" w:hAnsi="宋体"/>
          <w:highlight w:val="none"/>
          <w:u w:val="none"/>
        </w:rPr>
        <w:t xml:space="preserve">项目采购活动的合法代理人，以本单位名义全权处理一切与该项目采购有关的事务。</w:t>
      </w:r>
      <w:r>
        <w:rPr>
          <w:rFonts w:hint="eastAsia" w:ascii="宋体" w:hAnsi="宋体"/>
          <w:highlight w:val="none"/>
          <w:u w:val="none"/>
        </w:rPr>
      </w:r>
      <w:r/>
    </w:p>
    <w:p>
      <w:pPr>
        <w:pStyle w:val="814"/>
        <w:ind w:firstLine="480"/>
        <w:spacing w:before="87"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814"/>
        <w:ind w:firstLine="480"/>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814"/>
        <w:ind w:firstLine="482"/>
        <w:spacing w:before="87" w:line="480" w:lineRule="auto"/>
        <w:tabs>
          <w:tab w:val="left" w:pos="360" w:leader="none"/>
        </w:tabs>
        <w:rPr>
          <w:rFonts w:hint="eastAsia" w:ascii="黑体" w:hAnsi="黑体" w:eastAsia="黑体"/>
          <w:b/>
          <w:sz w:val="32"/>
          <w:szCs w:val="32"/>
          <w:highlight w:val="none"/>
          <w:u w:val="none"/>
        </w:rPr>
      </w:pPr>
      <w:r/>
      <w:bookmarkStart w:id="535" w:name="_Hlk91232425"/>
      <w:r>
        <w:rPr>
          <w:rFonts w:hint="eastAsia" w:ascii="宋体" w:hAnsi="宋体"/>
          <w:b/>
          <w:bCs/>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hint="eastAsia" w:ascii="宋体" w:hAnsi="宋体"/>
          <w:highlight w:val="none"/>
          <w:u w:val="none"/>
        </w:rPr>
        <w:t xml:space="preserve">；</w:t>
      </w:r>
      <w:r>
        <w:rPr>
          <w:rFonts w:hint="eastAsia" w:ascii="黑体" w:hAnsi="黑体" w:eastAsia="黑体"/>
          <w:b/>
          <w:sz w:val="32"/>
          <w:szCs w:val="32"/>
          <w:highlight w:val="none"/>
          <w:u w:val="none"/>
        </w:rPr>
      </w:r>
      <w:r/>
    </w:p>
    <w:p>
      <w:pPr>
        <w:pStyle w:val="814"/>
        <w:ind w:firstLine="480"/>
        <w:spacing w:before="87" w:line="480" w:lineRule="auto"/>
        <w:tabs>
          <w:tab w:val="left" w:pos="360" w:leader="none"/>
        </w:tabs>
        <w:rPr>
          <w:rFonts w:ascii="宋体" w:hAnsi="宋体"/>
          <w:highlight w:val="none"/>
        </w:rPr>
      </w:pPr>
      <w:r>
        <w:rPr>
          <w:rFonts w:ascii="宋体" w:hAnsi="宋体"/>
          <w:highlight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代理人（被授权人）签字：</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身份证号码：                              </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联系电话：（手机）                          </w:t>
      </w:r>
      <w:r>
        <w:rPr>
          <w:rFonts w:hint="eastAsia" w:ascii="宋体" w:hAnsi="宋体"/>
          <w:highlight w:val="none"/>
          <w:u w:val="none"/>
        </w:rPr>
      </w:r>
      <w:r/>
    </w:p>
    <w:p>
      <w:pPr>
        <w:pStyle w:val="814"/>
        <w:ind w:firstLine="480"/>
        <w:jc w:val="both"/>
        <w:spacing w:before="87"/>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814"/>
        <w:ind w:firstLine="480"/>
        <w:jc w:val="both"/>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授权单位名称（公章）：</w:t>
      </w:r>
      <w:r>
        <w:rPr>
          <w:rFonts w:ascii="宋体" w:hAnsi="宋体"/>
          <w:highlight w:val="none"/>
          <w:u w:val="none"/>
        </w:rPr>
      </w:r>
      <w:r/>
    </w:p>
    <w:p>
      <w:pPr>
        <w:pStyle w:val="814"/>
        <w:ind w:firstLine="480"/>
        <w:jc w:val="both"/>
        <w:spacing w:before="87" w:line="480" w:lineRule="auto"/>
        <w:tabs>
          <w:tab w:val="left" w:pos="360" w:leader="none"/>
        </w:tabs>
        <w:rPr>
          <w:rFonts w:ascii="宋体" w:hAnsi="宋体"/>
          <w:highlight w:val="none"/>
        </w:rPr>
      </w:pPr>
      <w:r>
        <w:rPr>
          <w:rFonts w:hint="eastAsia" w:ascii="宋体" w:hAnsi="宋体"/>
          <w:highlight w:val="none"/>
          <w:u w:val="none"/>
        </w:rPr>
        <w:t xml:space="preserve">法定代表人签字或签章：</w:t>
      </w:r>
      <w:r>
        <w:rPr>
          <w:rFonts w:ascii="宋体" w:hAnsi="宋体"/>
          <w:highlight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w:t>
      </w:r>
      <w:r>
        <w:rPr>
          <w:rFonts w:ascii="宋体" w:hAnsi="宋体"/>
          <w:highlight w:val="none"/>
          <w:u w:val="none"/>
        </w:rPr>
        <w:t xml:space="preserve">   </w:t>
      </w:r>
      <w:r>
        <w:rPr>
          <w:rFonts w:hint="eastAsia" w:ascii="宋体" w:hAnsi="宋体"/>
          <w:highlight w:val="none"/>
          <w:u w:val="none"/>
        </w:rPr>
        <w:t xml:space="preserve">期：</w:t>
      </w:r>
      <w:bookmarkStart w:id="536" w:name="_Hlt26955070"/>
      <w:r/>
      <w:bookmarkEnd w:id="536"/>
      <w:r/>
      <w:bookmarkStart w:id="537" w:name="_格式3__银行出具的资信证明"/>
      <w:r/>
      <w:bookmarkEnd w:id="537"/>
      <w:r/>
      <w:bookmarkStart w:id="538" w:name="_Hlt26671380"/>
      <w:r/>
      <w:bookmarkEnd w:id="538"/>
      <w:r>
        <w:rPr>
          <w:rFonts w:hint="eastAsia" w:ascii="宋体" w:hAnsi="宋体"/>
          <w:highlight w:val="none"/>
          <w:u w:val="none"/>
        </w:rPr>
        <w:t xml:space="preserve">   年   月   日</w:t>
      </w:r>
      <w:r>
        <w:rPr>
          <w:rFonts w:hint="eastAsia" w:ascii="宋体" w:hAnsi="宋体"/>
          <w:highlight w:val="none"/>
          <w:u w:val="none"/>
        </w:rPr>
      </w:r>
      <w:r/>
    </w:p>
    <w:p>
      <w:pPr>
        <w:pStyle w:val="685"/>
        <w:jc w:val="left"/>
        <w:widowControl/>
        <w:rPr>
          <w:rFonts w:ascii="黑体" w:hAnsi="黑体" w:eastAsia="黑体"/>
          <w:b/>
          <w:sz w:val="32"/>
          <w:szCs w:val="32"/>
          <w:highlight w:val="none"/>
        </w:rPr>
      </w:pPr>
      <w:r/>
      <w:bookmarkEnd w:id="535"/>
      <w:r>
        <w:rPr>
          <w:rFonts w:ascii="黑体" w:hAnsi="黑体" w:eastAsia="黑体"/>
          <w:b/>
          <w:sz w:val="32"/>
          <w:szCs w:val="32"/>
          <w:highlight w:val="none"/>
        </w:rPr>
      </w:r>
      <w:r/>
    </w:p>
    <w:p>
      <w:pPr>
        <w:pStyle w:val="688"/>
        <w:jc w:val="center"/>
        <w:spacing w:before="291" w:after="145" w:line="360" w:lineRule="auto"/>
        <w:rPr>
          <w:rFonts w:ascii="宋体" w:hAnsi="宋体"/>
          <w:bCs/>
          <w:szCs w:val="32"/>
          <w:highlight w:val="none"/>
        </w:rPr>
      </w:pPr>
      <w:r>
        <w:rPr>
          <w:rFonts w:ascii="宋体" w:hAnsi="宋体"/>
          <w:highlight w:val="none"/>
        </w:rPr>
        <w:br w:type="page" w:clear="all"/>
      </w:r>
      <w:bookmarkStart w:id="539" w:name="_Toc12708989"/>
      <w:r/>
      <w:bookmarkStart w:id="540" w:name="_Toc9363443"/>
      <w:r>
        <w:rPr>
          <w:rFonts w:hint="eastAsia" w:ascii="宋体" w:hAnsi="宋体"/>
          <w:highlight w:val="none"/>
        </w:rPr>
        <w:t xml:space="preserve">投标函</w:t>
      </w:r>
      <w:bookmarkEnd w:id="539"/>
      <w:r/>
      <w:bookmarkEnd w:id="540"/>
      <w:r>
        <w:rPr>
          <w:rFonts w:ascii="宋体" w:hAnsi="宋体"/>
          <w:bCs/>
          <w:szCs w:val="32"/>
          <w:highlight w:val="none"/>
        </w:rPr>
      </w:r>
      <w:r/>
    </w:p>
    <w:p>
      <w:pPr>
        <w:pStyle w:val="685"/>
        <w:spacing w:before="58" w:after="145"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项目名称、项目编号、分包号</w:t>
      </w:r>
      <w:r>
        <w:rPr>
          <w:rFonts w:ascii="宋体" w:hAnsi="宋体"/>
          <w:sz w:val="24"/>
          <w:highlight w:val="none"/>
          <w:u w:val="single"/>
        </w:rPr>
        <w:t xml:space="preserve">]   </w:t>
      </w:r>
      <w:r>
        <w:rPr>
          <w:rFonts w:hint="eastAsia" w:ascii="宋体" w:hAnsi="宋体"/>
          <w:sz w:val="24"/>
          <w:highlight w:val="none"/>
        </w:rPr>
        <w:t xml:space="preserve">招标文件，正式授权下述签字人_</w:t>
      </w:r>
      <w:r>
        <w:rPr>
          <w:rFonts w:ascii="宋体" w:hAnsi="宋体"/>
          <w:sz w:val="24"/>
          <w:highlight w:val="none"/>
          <w:u w:val="single"/>
        </w:rPr>
        <w:t xml:space="preserve"> [</w:t>
      </w:r>
      <w:r>
        <w:rPr>
          <w:rFonts w:hint="eastAsia" w:ascii="宋体" w:hAnsi="宋体"/>
          <w:sz w:val="24"/>
          <w:highlight w:val="none"/>
          <w:u w:val="single"/>
        </w:rPr>
        <w:t xml:space="preserve">姓名</w:t>
      </w:r>
      <w:r>
        <w:rPr>
          <w:rFonts w:ascii="宋体" w:hAnsi="宋体"/>
          <w:sz w:val="24"/>
          <w:highlight w:val="none"/>
          <w:u w:val="single"/>
        </w:rPr>
        <w:t xml:space="preserve">] </w:t>
      </w:r>
      <w:r>
        <w:rPr>
          <w:rFonts w:hint="eastAsia" w:ascii="宋体" w:hAnsi="宋体"/>
          <w:sz w:val="24"/>
          <w:highlight w:val="none"/>
        </w:rPr>
        <w:t xml:space="preserve">代表我方</w:t>
      </w:r>
      <w:r>
        <w:rPr>
          <w:rFonts w:ascii="宋体" w:hAnsi="宋体"/>
          <w:sz w:val="24"/>
          <w:highlight w:val="none"/>
          <w:u w:val="single"/>
        </w:rPr>
        <w:t xml:space="preserve">   [</w:t>
      </w:r>
      <w:r>
        <w:rPr>
          <w:rFonts w:hint="eastAsia" w:ascii="宋体" w:hAnsi="宋体"/>
          <w:sz w:val="24"/>
          <w:highlight w:val="none"/>
          <w:u w:val="single"/>
        </w:rPr>
        <w:t xml:space="preserve">供应商的名称]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据此函，</w:t>
      </w:r>
      <w:r>
        <w:rPr>
          <w:rFonts w:ascii="宋体" w:hAnsi="宋体"/>
          <w:sz w:val="24"/>
          <w:highlight w:val="none"/>
          <w:u w:val="single"/>
        </w:rPr>
        <w:t xml:space="preserve">     [</w:t>
      </w:r>
      <w:r>
        <w:rPr>
          <w:rFonts w:hint="eastAsia" w:ascii="宋体" w:hAnsi="宋体"/>
          <w:sz w:val="24"/>
          <w:highlight w:val="none"/>
          <w:u w:val="single"/>
        </w:rPr>
        <w:t xml:space="preserve">签字人姓名</w:t>
      </w:r>
      <w:r>
        <w:rPr>
          <w:rFonts w:ascii="宋体" w:hAnsi="宋体"/>
          <w:sz w:val="24"/>
          <w:highlight w:val="none"/>
          <w:u w:val="single"/>
        </w:rPr>
        <w:t xml:space="preserve">]     </w:t>
      </w:r>
      <w:r>
        <w:rPr>
          <w:rFonts w:hint="eastAsia" w:ascii="宋体" w:hAnsi="宋体"/>
          <w:sz w:val="24"/>
          <w:highlight w:val="none"/>
        </w:rPr>
        <w:t xml:space="preserve">宣布同意如下：</w:t>
      </w:r>
      <w:r>
        <w:rPr>
          <w:rFonts w:ascii="宋体" w:hAnsi="宋体"/>
          <w:sz w:val="24"/>
          <w:highlight w:val="none"/>
        </w:rPr>
      </w:r>
      <w:r/>
    </w:p>
    <w:p>
      <w:pPr>
        <w:pStyle w:val="685"/>
        <w:ind w:firstLine="482"/>
        <w:spacing w:before="29" w:line="400" w:lineRule="exact"/>
        <w:rPr>
          <w:rFonts w:ascii="宋体" w:hAnsi="宋体"/>
          <w:b/>
          <w:bCs/>
          <w:sz w:val="24"/>
          <w:highlight w:val="none"/>
        </w:rPr>
      </w:pPr>
      <w:r>
        <w:rPr>
          <w:rFonts w:hint="eastAsia" w:ascii="宋体" w:hAnsi="宋体"/>
          <w:b/>
          <w:bCs/>
          <w:sz w:val="24"/>
          <w:highlight w:val="none"/>
        </w:rPr>
        <w:t xml:space="preserve">1.按招标文件规定的各项要求，我们的投标报价为：</w:t>
      </w:r>
      <w:r>
        <w:rPr>
          <w:rFonts w:hint="eastAsia" w:ascii="宋体" w:hAnsi="宋体"/>
          <w:b/>
          <w:bCs/>
          <w:sz w:val="24"/>
          <w:highlight w:val="none"/>
          <w:u w:val="single"/>
        </w:rPr>
        <w:t xml:space="preserve">     万元；      大写</w:t>
      </w:r>
      <w:r>
        <w:rPr>
          <w:rFonts w:hint="eastAsia" w:ascii="宋体" w:hAnsi="宋体"/>
          <w:b/>
          <w:bCs/>
          <w:sz w:val="24"/>
          <w:highlight w:val="none"/>
        </w:rPr>
        <w:t xml:space="preserve">。</w:t>
      </w:r>
      <w:r>
        <w:rPr>
          <w:rFonts w:ascii="宋体" w:hAnsi="宋体"/>
          <w:b/>
          <w:bCs/>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2.我们完全理解贵方不一定将合同授予最低报价的供应商。</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541" w:name="_Hlk47427076"/>
      <w:r>
        <w:rPr>
          <w:rFonts w:hint="eastAsia" w:ascii="宋体" w:hAnsi="宋体"/>
          <w:sz w:val="24"/>
          <w:highlight w:val="none"/>
        </w:rPr>
        <w:t xml:space="preserve">我方同意按照政府采购规定承担所有责任。</w:t>
      </w:r>
      <w:r>
        <w:rPr>
          <w:rFonts w:ascii="宋体" w:hAnsi="宋体"/>
          <w:sz w:val="24"/>
          <w:highlight w:val="none"/>
        </w:rPr>
      </w:r>
      <w:r/>
    </w:p>
    <w:p>
      <w:pPr>
        <w:pStyle w:val="685"/>
        <w:ind w:firstLine="480"/>
        <w:spacing w:before="29" w:line="400" w:lineRule="exact"/>
        <w:rPr>
          <w:rFonts w:ascii="宋体" w:hAnsi="宋体"/>
          <w:sz w:val="24"/>
          <w:highlight w:val="none"/>
        </w:rPr>
      </w:pPr>
      <w:r/>
      <w:bookmarkEnd w:id="541"/>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w:t>
      </w:r>
      <w:r>
        <w:rPr>
          <w:rFonts w:ascii="宋体" w:hAnsi="宋体"/>
          <w:sz w:val="24"/>
          <w:highlight w:val="none"/>
        </w:rPr>
      </w:r>
      <w:r/>
    </w:p>
    <w:p>
      <w:pPr>
        <w:pStyle w:val="685"/>
        <w:ind w:firstLine="480"/>
        <w:spacing w:before="29" w:after="87"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bookmarkStart w:id="542" w:name="_Hlk13223537"/>
            <w:r>
              <w:rPr>
                <w:rFonts w:hint="eastAsia" w:ascii="宋体" w:hAnsi="宋体"/>
                <w:sz w:val="24"/>
                <w:highlight w:val="none"/>
              </w:rPr>
              <w:t xml:space="preserve">联系电话</w:t>
            </w:r>
            <w:r>
              <w:rPr>
                <w:rFonts w:hint="eastAsia" w:ascii="宋体" w:hAnsi="宋体"/>
                <w:sz w:val="24"/>
                <w:highlight w:val="none"/>
              </w:rPr>
            </w:r>
            <w:r/>
          </w:p>
        </w:tc>
        <w:tc>
          <w:tcPr>
            <w:tcW w:w="2551"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联系邮箱</w:t>
            </w:r>
            <w:r>
              <w:rPr>
                <w:rFonts w:hint="eastAsia" w:ascii="宋体" w:hAnsi="宋体"/>
                <w:sz w:val="24"/>
                <w:highlight w:val="none"/>
              </w:rPr>
            </w:r>
            <w:r/>
          </w:p>
        </w:tc>
        <w:tc>
          <w:tcPr>
            <w:tcW w:w="269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传 </w:t>
            </w:r>
            <w:r>
              <w:rPr>
                <w:rFonts w:ascii="宋体" w:hAnsi="宋体"/>
                <w:sz w:val="24"/>
                <w:highlight w:val="none"/>
              </w:rPr>
              <w:t xml:space="preserve">   </w:t>
            </w:r>
            <w:r>
              <w:rPr>
                <w:rFonts w:hint="eastAsia" w:ascii="宋体" w:hAnsi="宋体"/>
                <w:sz w:val="24"/>
                <w:highlight w:val="none"/>
              </w:rPr>
              <w:t xml:space="preserve">真</w:t>
            </w:r>
            <w:r>
              <w:rPr>
                <w:rFonts w:hint="eastAsia" w:ascii="宋体" w:hAnsi="宋体"/>
                <w:sz w:val="24"/>
                <w:highlight w:val="none"/>
              </w:rPr>
            </w:r>
            <w:r/>
          </w:p>
        </w:tc>
        <w:tc>
          <w:tcPr>
            <w:tcW w:w="2551"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邮 </w:t>
            </w:r>
            <w:r>
              <w:rPr>
                <w:rFonts w:ascii="宋体" w:hAnsi="宋体"/>
                <w:sz w:val="24"/>
                <w:highlight w:val="none"/>
              </w:rPr>
              <w:t xml:space="preserve">   </w:t>
            </w:r>
            <w:r>
              <w:rPr>
                <w:rFonts w:hint="eastAsia" w:ascii="宋体" w:hAnsi="宋体"/>
                <w:sz w:val="24"/>
                <w:highlight w:val="none"/>
              </w:rPr>
              <w:t xml:space="preserve">编</w:t>
            </w:r>
            <w:r>
              <w:rPr>
                <w:rFonts w:hint="eastAsia" w:ascii="宋体" w:hAnsi="宋体"/>
                <w:sz w:val="24"/>
                <w:highlight w:val="none"/>
              </w:rPr>
            </w:r>
            <w:r/>
          </w:p>
        </w:tc>
        <w:tc>
          <w:tcPr>
            <w:tcW w:w="269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通讯地址</w:t>
            </w:r>
            <w:r>
              <w:rPr>
                <w:rFonts w:hint="eastAsia" w:ascii="宋体" w:hAnsi="宋体"/>
                <w:sz w:val="24"/>
                <w:highlight w:val="none"/>
              </w:rPr>
            </w:r>
            <w:r/>
          </w:p>
        </w:tc>
        <w:tc>
          <w:tcPr>
            <w:gridSpan w:val="3"/>
            <w:tcW w:w="7087"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685"/>
              <w:jc w:val="center"/>
              <w:spacing w:before="58"/>
              <w:rPr>
                <w:rFonts w:hint="eastAsia" w:ascii="宋体" w:hAnsi="宋体"/>
                <w:sz w:val="24"/>
                <w:highlight w:val="none"/>
              </w:rPr>
            </w:pPr>
            <w:r/>
            <w:bookmarkEnd w:id="542"/>
            <w:r>
              <w:rPr>
                <w:rFonts w:hint="eastAsia" w:ascii="宋体" w:hAnsi="宋体"/>
                <w:sz w:val="24"/>
                <w:highlight w:val="none"/>
              </w:rPr>
              <w:t xml:space="preserve">供应商账户信息</w:t>
            </w:r>
            <w:r>
              <w:rPr>
                <w:rFonts w:hint="eastAsia" w:ascii="宋体" w:hAnsi="宋体"/>
                <w:sz w:val="24"/>
                <w:highlight w:val="none"/>
              </w:rPr>
            </w:r>
            <w:r/>
          </w:p>
        </w:tc>
        <w:tc>
          <w:tcPr>
            <w:gridSpan w:val="3"/>
            <w:tcW w:w="7087" w:type="dxa"/>
            <w:vAlign w:val="center"/>
            <w:textDirection w:val="lrTb"/>
            <w:noWrap w:val="false"/>
          </w:tcPr>
          <w:p>
            <w:pPr>
              <w:pStyle w:val="685"/>
              <w:spacing w:before="58"/>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685"/>
              <w:spacing w:before="58"/>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685"/>
              <w:spacing w:before="58"/>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685"/>
        <w:ind w:firstLine="480"/>
        <w:spacing w:before="58"/>
        <w:rPr>
          <w:rFonts w:hint="eastAsia" w:ascii="宋体" w:hAnsi="宋体"/>
          <w:sz w:val="24"/>
          <w:highlight w:val="none"/>
        </w:rPr>
      </w:pPr>
      <w:r>
        <w:rPr>
          <w:rFonts w:hint="eastAsia" w:ascii="宋体" w:hAnsi="宋体"/>
          <w:sz w:val="24"/>
          <w:highlight w:val="none"/>
        </w:rPr>
      </w:r>
      <w:r/>
    </w:p>
    <w:p>
      <w:pPr>
        <w:pStyle w:val="685"/>
        <w:ind w:firstLine="480"/>
        <w:spacing w:before="58" w:line="360" w:lineRule="auto"/>
        <w:rPr>
          <w:rFonts w:ascii="宋体" w:hAnsi="宋体"/>
          <w:sz w:val="24"/>
          <w:highlight w:val="none"/>
        </w:rPr>
      </w:pPr>
      <w:r/>
      <w:bookmarkStart w:id="543" w:name="_Hlk13223570"/>
      <w:r>
        <w:rPr>
          <w:rFonts w:hint="eastAsia" w:ascii="宋体" w:hAnsi="宋体"/>
          <w:sz w:val="24"/>
          <w:highlight w:val="none"/>
        </w:rPr>
        <w:t xml:space="preserve">供应商全称（公章）： </w:t>
      </w:r>
      <w:r>
        <w:rPr>
          <w:rFonts w:ascii="宋体" w:hAnsi="宋体"/>
          <w:sz w:val="24"/>
          <w:highlight w:val="none"/>
        </w:rPr>
      </w:r>
      <w:r/>
    </w:p>
    <w:p>
      <w:pPr>
        <w:pStyle w:val="685"/>
        <w:ind w:firstLine="480"/>
        <w:spacing w:before="58" w:line="360" w:lineRule="auto"/>
        <w:rPr>
          <w:rFonts w:hint="eastAsia" w:ascii="宋体" w:hAnsi="宋体"/>
          <w:sz w:val="24"/>
          <w:highlight w:val="none"/>
        </w:rPr>
      </w:pPr>
      <w:r>
        <w:rPr>
          <w:rFonts w:hint="eastAsia" w:ascii="宋体" w:hAnsi="宋体"/>
          <w:sz w:val="24"/>
          <w:highlight w:val="none"/>
        </w:rPr>
        <w:t xml:space="preserve">法定代表人或授权代表（签章或签字）：</w:t>
      </w:r>
      <w:r>
        <w:rPr>
          <w:rFonts w:hint="eastAsia" w:ascii="宋体" w:hAnsi="宋体"/>
          <w:sz w:val="24"/>
          <w:highlight w:val="none"/>
        </w:rPr>
      </w:r>
      <w:r/>
    </w:p>
    <w:p>
      <w:pPr>
        <w:pStyle w:val="685"/>
        <w:ind w:firstLine="480"/>
        <w:spacing w:before="58"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687"/>
        <w:spacing w:before="291" w:after="145" w:line="360" w:lineRule="auto"/>
        <w:rPr>
          <w:rFonts w:ascii="宋体" w:hAnsi="宋体" w:eastAsia="宋体"/>
          <w:sz w:val="32"/>
          <w:szCs w:val="32"/>
          <w:highlight w:val="none"/>
        </w:rPr>
      </w:pPr>
      <w:r/>
      <w:bookmarkEnd w:id="543"/>
      <w:r/>
      <w:bookmarkStart w:id="544" w:name="_Toc12708994"/>
      <w:r/>
      <w:bookmarkStart w:id="545" w:name="_Toc25744"/>
      <w:r/>
      <w:bookmarkStart w:id="546" w:name="_Toc9363448"/>
      <w:r/>
      <w:bookmarkStart w:id="547" w:name="_Toc12887281"/>
      <w:r/>
      <w:bookmarkStart w:id="548" w:name="_Toc9363444"/>
      <w:r/>
      <w:bookmarkStart w:id="549" w:name="_Toc12708990"/>
      <w:r/>
      <w:bookmarkStart w:id="550" w:name="_Toc8485130"/>
      <w:r>
        <w:rPr>
          <w:rFonts w:hint="eastAsia" w:ascii="宋体" w:hAnsi="宋体" w:eastAsia="宋体"/>
          <w:sz w:val="32"/>
          <w:szCs w:val="32"/>
          <w:highlight w:val="none"/>
        </w:rPr>
        <w:t xml:space="preserve">四、开标一览表</w:t>
      </w:r>
      <w:bookmarkEnd w:id="544"/>
      <w:r/>
      <w:bookmarkEnd w:id="545"/>
      <w:r/>
      <w:bookmarkEnd w:id="546"/>
      <w:r/>
      <w:bookmarkEnd w:id="547"/>
      <w:r>
        <w:rPr>
          <w:rFonts w:ascii="宋体" w:hAnsi="宋体" w:eastAsia="宋体"/>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供应商全称</w:t>
            </w:r>
            <w:r>
              <w:rPr>
                <w:rFonts w:ascii="宋体" w:hAnsi="宋体"/>
                <w:b/>
                <w:sz w:val="24"/>
                <w:highlight w:val="none"/>
              </w:rPr>
            </w:r>
            <w:r/>
          </w:p>
          <w:p>
            <w:pPr>
              <w:pStyle w:val="685"/>
              <w:jc w:val="center"/>
              <w:rPr>
                <w:rFonts w:ascii="宋体" w:hAnsi="宋体"/>
                <w:b/>
                <w:sz w:val="24"/>
                <w:highlight w:val="none"/>
              </w:rPr>
            </w:pPr>
            <w:r>
              <w:rPr>
                <w:rFonts w:hint="eastAsia" w:ascii="宋体" w:hAnsi="宋体"/>
                <w:b/>
                <w:sz w:val="24"/>
                <w:highlight w:val="none"/>
              </w:rPr>
              <w:t xml:space="preserve">（加盖公章）</w:t>
            </w:r>
            <w:r>
              <w:rPr>
                <w:rFonts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55"/>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项目名称</w:t>
            </w:r>
            <w:r>
              <w:rPr>
                <w:rFonts w:ascii="宋体" w:hAnsi="宋体"/>
                <w:b/>
                <w:sz w:val="24"/>
                <w:highlight w:val="none"/>
              </w:rPr>
            </w:r>
            <w:r/>
          </w:p>
        </w:tc>
        <w:tc>
          <w:tcPr>
            <w:tcW w:w="5546" w:type="dxa"/>
            <w:vAlign w:val="center"/>
            <w:textDirection w:val="lrTb"/>
            <w:noWrap w:val="false"/>
          </w:tcPr>
          <w:p>
            <w:pPr>
              <w:pStyle w:val="685"/>
              <w:jc w:val="center"/>
              <w:rPr>
                <w:rFonts w:ascii="宋体" w:hAnsi="宋体"/>
                <w:bCs/>
                <w:sz w:val="24"/>
                <w:highlight w:val="none"/>
              </w:rPr>
            </w:pPr>
            <w:r>
              <w:rPr>
                <w:rFonts w:hint="eastAsia" w:ascii="宋体" w:hAnsi="宋体"/>
                <w:bCs/>
                <w:sz w:val="24"/>
                <w:highlight w:val="none"/>
              </w:rPr>
              <w:t xml:space="preserve">（如有分包，需注明分包号）</w:t>
            </w:r>
            <w:r>
              <w:rPr>
                <w:rFonts w:ascii="宋体" w:hAnsi="宋体"/>
                <w:bCs/>
                <w:sz w:val="24"/>
                <w:highlight w:val="none"/>
              </w:rPr>
            </w:r>
            <w:r/>
          </w:p>
        </w:tc>
      </w:tr>
      <w:tr>
        <w:trPr>
          <w:trHeight w:val="501"/>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项目编号</w:t>
            </w:r>
            <w:r>
              <w:rPr>
                <w:rFonts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lang w:val="zh-CN"/>
              </w:rPr>
              <w:t xml:space="preserve">供应商是否属于小微型企业</w:t>
            </w:r>
            <w:r>
              <w:rPr>
                <w:rFonts w:hint="eastAsia" w:ascii="宋体" w:hAnsi="宋体"/>
                <w:b/>
                <w:sz w:val="24"/>
                <w:highlight w:val="none"/>
              </w:rPr>
            </w:r>
            <w:r/>
          </w:p>
        </w:tc>
        <w:tc>
          <w:tcPr>
            <w:tcW w:w="5546" w:type="dxa"/>
            <w:vAlign w:val="center"/>
            <w:textDirection w:val="lrTb"/>
            <w:noWrap w:val="false"/>
          </w:tcPr>
          <w:p>
            <w:pPr>
              <w:pStyle w:val="685"/>
              <w:jc w:val="center"/>
              <w:rPr>
                <w:rFonts w:hint="eastAsia" w:ascii="宋体" w:hAnsi="宋体"/>
                <w:b/>
                <w:sz w:val="24"/>
                <w:highlight w:val="none"/>
                <w:lang w:val="zh-CN"/>
              </w:rPr>
            </w:pPr>
            <w:r>
              <w:rPr>
                <w:rFonts w:hint="eastAsia" w:ascii="宋体" w:hAnsi="宋体"/>
                <w:b/>
                <w:sz w:val="24"/>
                <w:highlight w:val="none"/>
                <w:lang w:val="zh-CN"/>
              </w:rPr>
              <w:t xml:space="preserve">是       否</w:t>
            </w:r>
            <w:r>
              <w:rPr>
                <w:rFonts w:hint="eastAsia" w:ascii="宋体" w:hAnsi="宋体"/>
                <w:b/>
                <w:sz w:val="24"/>
                <w:highlight w:val="none"/>
                <w:lang w:val="zh-CN"/>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rPr>
              <w:t xml:space="preserve">项目负责人</w:t>
            </w:r>
            <w:r>
              <w:rPr>
                <w:rFonts w:hint="eastAsia"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lang w:val="zh-CN"/>
              </w:rPr>
              <w:t xml:space="preserve">其他优惠承诺（如果有的话）</w:t>
            </w:r>
            <w:r>
              <w:rPr>
                <w:rFonts w:hint="eastAsia"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2411"/>
        </w:trPr>
        <w:tc>
          <w:tcPr>
            <w:tcW w:w="3384" w:type="dxa"/>
            <w:vAlign w:val="center"/>
            <w:textDirection w:val="lrTb"/>
            <w:noWrap w:val="false"/>
          </w:tcPr>
          <w:p>
            <w:pPr>
              <w:pStyle w:val="685"/>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投标报价（单价_元/家）</w:t>
            </w:r>
            <w:r>
              <w:rPr>
                <w:rFonts w:hint="eastAsia" w:ascii="宋体" w:hAnsi="宋体" w:cs="宋体"/>
                <w:b/>
                <w:bCs/>
                <w:sz w:val="24"/>
                <w:highlight w:val="none"/>
              </w:rPr>
            </w:r>
            <w:r/>
          </w:p>
        </w:tc>
        <w:tc>
          <w:tcPr>
            <w:tcW w:w="5546" w:type="dxa"/>
            <w:vAlign w:val="center"/>
            <w:textDirection w:val="lrTb"/>
            <w:noWrap w:val="false"/>
          </w:tcPr>
          <w:p>
            <w:pPr>
              <w:pStyle w:val="685"/>
              <w:spacing w:line="360" w:lineRule="auto"/>
              <w:rPr>
                <w:rFonts w:hint="eastAsia" w:ascii="宋体" w:hAnsi="宋体" w:cs="宋体"/>
                <w:b/>
                <w:bCs/>
                <w:sz w:val="24"/>
                <w:highlight w:val="none"/>
              </w:rPr>
            </w:pPr>
            <w:r>
              <w:rPr>
                <w:rFonts w:hint="eastAsia" w:ascii="宋体" w:hAnsi="宋体" w:cs="宋体"/>
                <w:b/>
                <w:bCs/>
                <w:sz w:val="24"/>
                <w:highlight w:val="none"/>
              </w:rPr>
              <w:t xml:space="preserve">大写：人民币</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元/家</w:t>
            </w:r>
            <w:r>
              <w:rPr>
                <w:rFonts w:hint="eastAsia" w:ascii="宋体" w:hAnsi="宋体" w:cs="宋体"/>
                <w:b/>
                <w:bCs/>
                <w:sz w:val="24"/>
                <w:highlight w:val="none"/>
              </w:rPr>
            </w:r>
            <w:r/>
          </w:p>
          <w:p>
            <w:pPr>
              <w:pStyle w:val="685"/>
              <w:spacing w:line="360" w:lineRule="auto"/>
              <w:rPr>
                <w:rFonts w:hint="eastAsia" w:ascii="宋体" w:hAnsi="宋体" w:cs="宋体"/>
                <w:b/>
                <w:bCs/>
                <w:sz w:val="24"/>
                <w:highlight w:val="none"/>
              </w:rPr>
            </w:pPr>
            <w:r>
              <w:rPr>
                <w:rFonts w:hint="eastAsia" w:ascii="宋体" w:hAnsi="宋体" w:cs="宋体"/>
                <w:b/>
                <w:bCs/>
                <w:sz w:val="24"/>
                <w:highlight w:val="none"/>
              </w:rPr>
              <w:t xml:space="preserve">小写：人民币</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元/家</w:t>
            </w:r>
            <w:r>
              <w:rPr>
                <w:rFonts w:hint="eastAsia" w:ascii="宋体" w:hAnsi="宋体" w:cs="宋体"/>
                <w:b/>
                <w:bCs/>
                <w:sz w:val="24"/>
                <w:highlight w:val="none"/>
              </w:rPr>
            </w:r>
            <w:r/>
          </w:p>
        </w:tc>
      </w:tr>
    </w:tbl>
    <w:p>
      <w:pPr>
        <w:pStyle w:val="685"/>
        <w:ind w:firstLine="480"/>
        <w:jc w:val="right"/>
        <w:rPr>
          <w:rFonts w:ascii="宋体" w:hAnsi="宋体"/>
          <w:sz w:val="24"/>
          <w:highlight w:val="none"/>
        </w:rPr>
      </w:pPr>
      <w:r>
        <w:rPr>
          <w:rFonts w:hint="eastAsia" w:ascii="宋体" w:hAnsi="宋体"/>
          <w:sz w:val="24"/>
          <w:highlight w:val="none"/>
        </w:rPr>
        <w:t xml:space="preserve">                                       日 期：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t xml:space="preserve"> </w:t>
      </w:r>
      <w:r>
        <w:rPr>
          <w:rFonts w:ascii="宋体" w:hAnsi="宋体"/>
          <w:sz w:val="24"/>
          <w:highlight w:val="none"/>
        </w:rPr>
      </w:r>
      <w:r/>
    </w:p>
    <w:p>
      <w:pPr>
        <w:pStyle w:val="685"/>
        <w:rPr>
          <w:rFonts w:hint="eastAsia" w:ascii="宋体" w:hAnsi="宋体" w:cs="宋体"/>
          <w:b/>
          <w:bCs/>
          <w:sz w:val="24"/>
          <w:highlight w:val="none"/>
        </w:rPr>
      </w:pPr>
      <w:r>
        <w:rPr>
          <w:rFonts w:hint="eastAsia" w:ascii="宋体" w:hAnsi="宋体" w:cs="宋体"/>
          <w:b/>
          <w:bCs/>
          <w:sz w:val="24"/>
          <w:highlight w:val="none"/>
          <w:lang w:bidi="ar"/>
        </w:rPr>
        <w:t xml:space="preserve">填写说明：</w:t>
      </w:r>
      <w:r>
        <w:rPr>
          <w:rFonts w:hint="eastAsia" w:ascii="宋体" w:hAnsi="宋体" w:cs="宋体"/>
          <w:b/>
          <w:bCs/>
          <w:sz w:val="24"/>
          <w:highlight w:val="none"/>
        </w:rPr>
      </w:r>
      <w:r/>
    </w:p>
    <w:p>
      <w:pPr>
        <w:pStyle w:val="685"/>
        <w:spacing w:after="145" w:line="500" w:lineRule="exact"/>
        <w:rPr>
          <w:rFonts w:ascii="宋体" w:hAnsi="宋体" w:cs="宋体"/>
          <w:b/>
          <w:iCs/>
          <w:sz w:val="24"/>
          <w:highlight w:val="none"/>
          <w:lang w:bidi="ar"/>
        </w:rPr>
      </w:pPr>
      <w:r>
        <w:rPr>
          <w:rFonts w:ascii="宋体" w:hAnsi="宋体" w:cs="宋体"/>
          <w:b/>
          <w:i/>
          <w:sz w:val="24"/>
          <w:highlight w:val="none"/>
          <w:lang w:bidi="ar"/>
        </w:rPr>
        <w:t xml:space="preserve">1</w:t>
      </w:r>
      <w:r>
        <w:rPr>
          <w:rFonts w:hint="eastAsia" w:ascii="宋体" w:hAnsi="宋体" w:cs="宋体"/>
          <w:b/>
          <w:i/>
          <w:sz w:val="24"/>
          <w:highlight w:val="none"/>
          <w:lang w:bidi="ar"/>
        </w:rPr>
        <w:t xml:space="preserve">、</w:t>
      </w:r>
      <w:r>
        <w:rPr>
          <w:rFonts w:hint="eastAsia" w:ascii="宋体" w:hAnsi="宋体" w:cs="宋体"/>
          <w:b/>
          <w:bCs/>
          <w:i/>
          <w:iCs/>
          <w:sz w:val="24"/>
          <w:highlight w:val="none"/>
          <w:u w:val="single"/>
          <w:lang w:bidi="ar"/>
        </w:rPr>
        <w:t xml:space="preserve">开标一览表必须加盖供应商公章（复印件无效）。</w:t>
      </w:r>
      <w:r>
        <w:rPr>
          <w:rFonts w:ascii="宋体" w:hAnsi="宋体" w:cs="宋体"/>
          <w:b/>
          <w:iCs/>
          <w:sz w:val="24"/>
          <w:highlight w:val="none"/>
          <w:lang w:bidi="ar"/>
        </w:rPr>
      </w:r>
      <w:r/>
    </w:p>
    <w:p>
      <w:pPr>
        <w:pStyle w:val="685"/>
        <w:spacing w:after="145" w:line="500" w:lineRule="exact"/>
        <w:rPr>
          <w:rFonts w:hint="eastAsia" w:ascii="宋体" w:hAnsi="宋体" w:cs="宋体"/>
          <w:b/>
          <w:iCs/>
          <w:sz w:val="24"/>
          <w:highlight w:val="none"/>
        </w:rPr>
      </w:pPr>
      <w:r>
        <w:rPr>
          <w:rFonts w:ascii="宋体" w:hAnsi="宋体" w:cs="宋体"/>
          <w:b/>
          <w:iCs/>
          <w:sz w:val="24"/>
          <w:highlight w:val="none"/>
          <w:lang w:bidi="ar"/>
        </w:rPr>
        <w:t xml:space="preserve">2</w:t>
      </w:r>
      <w:r>
        <w:rPr>
          <w:rFonts w:hint="eastAsia" w:ascii="宋体" w:hAnsi="宋体" w:cs="宋体"/>
          <w:b/>
          <w:iCs/>
          <w:sz w:val="24"/>
          <w:highlight w:val="none"/>
          <w:lang w:bidi="ar"/>
        </w:rPr>
        <w:t xml:space="preserve">、开标一览表需单独密封在信封中，在投标截止时间前与投标文件一并递交；</w:t>
      </w:r>
      <w:r>
        <w:rPr>
          <w:rFonts w:hint="eastAsia" w:ascii="宋体" w:hAnsi="宋体" w:cs="宋体"/>
          <w:b/>
          <w:iCs/>
          <w:sz w:val="24"/>
          <w:highlight w:val="none"/>
        </w:rPr>
      </w:r>
      <w:r/>
    </w:p>
    <w:p>
      <w:pPr>
        <w:pStyle w:val="687"/>
        <w:spacing w:before="291" w:after="145" w:line="360" w:lineRule="auto"/>
        <w:rPr>
          <w:rFonts w:ascii="宋体" w:hAnsi="宋体" w:eastAsia="宋体"/>
          <w:sz w:val="32"/>
          <w:szCs w:val="32"/>
          <w:highlight w:val="none"/>
        </w:rPr>
      </w:pPr>
      <w:r>
        <w:rPr>
          <w:highlight w:val="none"/>
        </w:rPr>
        <w:br w:type="page" w:clear="all"/>
      </w:r>
      <w:bookmarkStart w:id="551" w:name="_Toc12887282"/>
      <w:r/>
      <w:bookmarkStart w:id="552" w:name="_Toc6067"/>
      <w:r>
        <w:rPr>
          <w:rFonts w:hint="eastAsia" w:ascii="宋体" w:hAnsi="宋体" w:eastAsia="宋体"/>
          <w:sz w:val="32"/>
          <w:szCs w:val="32"/>
          <w:highlight w:val="none"/>
        </w:rPr>
        <w:t xml:space="preserve">五、分项报价表</w:t>
      </w:r>
      <w:bookmarkEnd w:id="548"/>
      <w:r/>
      <w:bookmarkEnd w:id="549"/>
      <w:r/>
      <w:bookmarkEnd w:id="550"/>
      <w:r/>
      <w:bookmarkEnd w:id="551"/>
      <w:r/>
      <w:bookmarkEnd w:id="552"/>
      <w:r>
        <w:rPr>
          <w:rFonts w:ascii="宋体" w:hAnsi="宋体" w:eastAsia="宋体"/>
          <w:sz w:val="32"/>
          <w:szCs w:val="32"/>
          <w:highlight w:val="none"/>
        </w:rPr>
      </w:r>
      <w:r/>
    </w:p>
    <w:p>
      <w:pPr>
        <w:pStyle w:val="724"/>
        <w:spacing w:line="360" w:lineRule="auto"/>
        <w:rPr>
          <w:rFonts w:hint="eastAsia" w:ascii="宋体" w:hAnsi="宋体"/>
          <w:b/>
          <w:szCs w:val="24"/>
          <w:highlight w:val="none"/>
        </w:rPr>
      </w:pPr>
      <w:r>
        <w:rPr>
          <w:rFonts w:hint="eastAsia" w:ascii="宋体" w:hAnsi="宋体"/>
          <w:b/>
          <w:szCs w:val="24"/>
          <w:highlight w:val="none"/>
        </w:rPr>
        <w:t xml:space="preserve">（根据采购需求编写）</w:t>
      </w:r>
      <w:r>
        <w:rPr>
          <w:rFonts w:hint="eastAsia" w:ascii="宋体" w:hAnsi="宋体"/>
          <w:b/>
          <w:szCs w:val="24"/>
          <w:highlight w:val="none"/>
        </w:rPr>
      </w:r>
      <w:r/>
    </w:p>
    <w:p>
      <w:pPr>
        <w:pStyle w:val="724"/>
        <w:spacing w:line="360" w:lineRule="auto"/>
        <w:rPr>
          <w:rFonts w:ascii="宋体" w:hAnsi="宋体"/>
          <w:b/>
          <w:szCs w:val="24"/>
          <w:highlight w:val="none"/>
        </w:rPr>
      </w:pPr>
      <w:r>
        <w:rPr>
          <w:rFonts w:hint="eastAsia" w:ascii="宋体" w:hAnsi="宋体"/>
          <w:b/>
          <w:szCs w:val="24"/>
          <w:highlight w:val="none"/>
        </w:rPr>
        <w:t xml:space="preserve">是否提供了中小企业声明：</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宋体" w:hAnsi="宋体"/>
          <w:b/>
          <w:szCs w:val="24"/>
          <w:highlight w:val="none"/>
        </w:rPr>
      </w:r>
      <w:r/>
    </w:p>
    <w:p>
      <w:pPr>
        <w:pStyle w:val="685"/>
        <w:spacing w:before="145" w:line="300" w:lineRule="auto"/>
        <w:rPr>
          <w:rFonts w:hint="eastAsia" w:ascii="宋体" w:hAnsi="宋体"/>
          <w:b/>
          <w:bCs/>
          <w:sz w:val="24"/>
          <w:highlight w:val="none"/>
        </w:rPr>
      </w:pPr>
      <w:r/>
      <w:bookmarkStart w:id="553" w:name="_Hlk28858771"/>
      <w:r>
        <w:rPr>
          <w:rFonts w:hint="eastAsia" w:ascii="宋体" w:hAnsi="宋体"/>
          <w:b/>
          <w:bCs/>
          <w:sz w:val="24"/>
          <w:highlight w:val="none"/>
        </w:rPr>
      </w:r>
      <w:r/>
    </w:p>
    <w:p>
      <w:pPr>
        <w:pStyle w:val="685"/>
        <w:spacing w:before="145" w:line="300" w:lineRule="auto"/>
        <w:rPr>
          <w:rFonts w:hint="eastAsia" w:ascii="宋体" w:hAnsi="宋体"/>
          <w:b/>
          <w:bCs/>
          <w:sz w:val="24"/>
          <w:highlight w:val="none"/>
        </w:rPr>
      </w:pPr>
      <w:r>
        <w:rPr>
          <w:rFonts w:hint="eastAsia" w:ascii="宋体" w:hAnsi="宋体"/>
          <w:b/>
          <w:bCs/>
          <w:sz w:val="24"/>
          <w:highlight w:val="none"/>
        </w:rPr>
      </w:r>
      <w:r/>
    </w:p>
    <w:p>
      <w:pPr>
        <w:pStyle w:val="685"/>
        <w:spacing w:before="145"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685"/>
        <w:spacing w:line="360" w:lineRule="auto"/>
        <w:rPr>
          <w:rFonts w:ascii="宋体" w:hAnsi="宋体"/>
          <w:sz w:val="24"/>
          <w:highlight w:val="none"/>
        </w:rPr>
      </w:pPr>
      <w:r/>
      <w:bookmarkStart w:id="554" w:name="_Hlk47437351"/>
      <w:r/>
      <w:bookmarkStart w:id="555" w:name="_Hlk45479321"/>
      <w:r>
        <w:rPr>
          <w:rFonts w:hint="eastAsia" w:ascii="宋体" w:hAnsi="宋体"/>
          <w:sz w:val="24"/>
          <w:highlight w:val="none"/>
        </w:rPr>
        <w:t xml:space="preserve">1、供应商应按招标文件所需货物或服务逐项报价；</w:t>
      </w:r>
      <w:r>
        <w:rPr>
          <w:rFonts w:ascii="宋体" w:hAnsi="宋体"/>
          <w:sz w:val="24"/>
          <w:highlight w:val="none"/>
        </w:rPr>
      </w:r>
      <w:r/>
    </w:p>
    <w:p>
      <w:pPr>
        <w:pStyle w:val="685"/>
        <w:spacing w:line="360" w:lineRule="auto"/>
        <w:rPr>
          <w:rFonts w:hint="eastAsia" w:ascii="宋体" w:hAnsi="宋体"/>
          <w:sz w:val="24"/>
          <w:highlight w:val="none"/>
        </w:rPr>
      </w:pPr>
      <w:r>
        <w:rPr>
          <w:rFonts w:hint="eastAsia" w:ascii="宋体" w:hAnsi="宋体"/>
          <w:sz w:val="24"/>
          <w:highlight w:val="none"/>
        </w:rPr>
        <w:t xml:space="preserve">2、对于主要投标货物或服务，供应商如因分项报价不明确，而可能影响本项目实际结算的，评标委员会有权视为重大偏离处理；</w:t>
      </w:r>
      <w:r>
        <w:rPr>
          <w:rFonts w:hint="eastAsia" w:ascii="宋体" w:hAnsi="宋体"/>
          <w:sz w:val="24"/>
          <w:highlight w:val="none"/>
        </w:rPr>
      </w:r>
      <w:r/>
    </w:p>
    <w:p>
      <w:pPr>
        <w:pStyle w:val="685"/>
        <w:spacing w:line="360" w:lineRule="auto"/>
        <w:rPr>
          <w:rFonts w:ascii="宋体" w:hAnsi="宋体"/>
          <w:sz w:val="24"/>
          <w:highlight w:val="none"/>
        </w:rPr>
      </w:pPr>
      <w:r/>
      <w:bookmarkEnd w:id="555"/>
      <w:r>
        <w:rPr>
          <w:rFonts w:hint="eastAsia" w:ascii="宋体" w:hAnsi="宋体"/>
          <w:sz w:val="24"/>
          <w:highlight w:val="none"/>
        </w:rPr>
        <w:t xml:space="preserve">3、如参与多个分包的，请各投标供应商按所投分包分别列表。</w:t>
      </w:r>
      <w:r>
        <w:rPr>
          <w:rFonts w:ascii="宋体" w:hAnsi="宋体"/>
          <w:sz w:val="24"/>
          <w:highlight w:val="none"/>
        </w:rPr>
      </w:r>
      <w:r/>
    </w:p>
    <w:p>
      <w:pPr>
        <w:pStyle w:val="687"/>
        <w:spacing w:before="291" w:after="145" w:line="360" w:lineRule="auto"/>
        <w:rPr>
          <w:rFonts w:ascii="宋体" w:hAnsi="宋体" w:eastAsia="宋体"/>
          <w:bCs/>
          <w:sz w:val="32"/>
          <w:szCs w:val="32"/>
          <w:highlight w:val="none"/>
        </w:rPr>
      </w:pPr>
      <w:r/>
      <w:bookmarkEnd w:id="553"/>
      <w:r/>
      <w:bookmarkEnd w:id="554"/>
      <w:r/>
      <w:bookmarkStart w:id="556" w:name="_Toc8485132"/>
      <w:r>
        <w:rPr>
          <w:rFonts w:ascii="宋体" w:hAnsi="宋体" w:eastAsia="宋体"/>
          <w:sz w:val="32"/>
          <w:szCs w:val="32"/>
          <w:highlight w:val="none"/>
        </w:rPr>
        <w:br w:type="page" w:clear="all"/>
      </w:r>
      <w:bookmarkStart w:id="557" w:name="_Toc9363446"/>
      <w:r/>
      <w:bookmarkStart w:id="558" w:name="_Toc22021"/>
      <w:r/>
      <w:bookmarkStart w:id="559" w:name="_Toc12708992"/>
      <w:r/>
      <w:bookmarkStart w:id="560" w:name="_Toc12887284"/>
      <w:r>
        <w:rPr>
          <w:rFonts w:hint="eastAsia" w:ascii="宋体" w:hAnsi="宋体" w:eastAsia="宋体"/>
          <w:sz w:val="32"/>
          <w:szCs w:val="32"/>
          <w:highlight w:val="none"/>
        </w:rPr>
        <w:t xml:space="preserve">六、</w:t>
      </w:r>
      <w:bookmarkStart w:id="561" w:name="_Hlk47437482"/>
      <w:r>
        <w:rPr>
          <w:rFonts w:hint="eastAsia" w:ascii="宋体" w:hAnsi="宋体" w:eastAsia="宋体"/>
          <w:sz w:val="32"/>
          <w:szCs w:val="32"/>
          <w:highlight w:val="none"/>
        </w:rPr>
        <w:t xml:space="preserve">技术响应偏离表</w:t>
      </w:r>
      <w:bookmarkEnd w:id="556"/>
      <w:r/>
      <w:bookmarkEnd w:id="557"/>
      <w:r/>
      <w:bookmarkEnd w:id="558"/>
      <w:r/>
      <w:bookmarkEnd w:id="559"/>
      <w:r/>
      <w:bookmarkEnd w:id="560"/>
      <w:r/>
      <w:bookmarkEnd w:id="561"/>
      <w:r>
        <w:rPr>
          <w:rFonts w:ascii="宋体" w:hAnsi="宋体" w:eastAsia="宋体"/>
          <w:bCs/>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highlight w:val="none"/>
              </w:rPr>
            </w:pPr>
            <w:r/>
            <w:bookmarkStart w:id="562" w:name="_Hlk13224763"/>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5"/>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5"/>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5"/>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bl>
    <w:p>
      <w:pPr>
        <w:pStyle w:val="685"/>
        <w:jc w:val="left"/>
        <w:spacing w:line="300" w:lineRule="auto"/>
        <w:rPr>
          <w:rFonts w:hint="eastAsia" w:ascii="宋体" w:hAnsi="宋体"/>
          <w:b/>
          <w:sz w:val="24"/>
          <w:highlight w:val="none"/>
        </w:rPr>
      </w:pPr>
      <w:r/>
      <w:bookmarkEnd w:id="562"/>
      <w:r/>
      <w:bookmarkStart w:id="563" w:name="_Hlk13224796"/>
      <w:r>
        <w:rPr>
          <w:rFonts w:hint="eastAsia" w:ascii="宋体" w:hAnsi="宋体"/>
          <w:b/>
          <w:sz w:val="24"/>
          <w:highlight w:val="none"/>
        </w:rPr>
      </w:r>
      <w:r/>
    </w:p>
    <w:p>
      <w:pPr>
        <w:pStyle w:val="716"/>
        <w:jc w:val="center"/>
        <w:rPr>
          <w:rFonts w:eastAsia="宋体"/>
          <w:b/>
          <w:bCs/>
          <w:highlight w:val="none"/>
        </w:rPr>
      </w:pPr>
      <w:r>
        <w:rPr>
          <w:rFonts w:hint="eastAsia" w:ascii="宋体" w:hAnsi="宋体" w:eastAsia="宋体"/>
          <w:b/>
          <w:bCs/>
          <w:sz w:val="32"/>
          <w:szCs w:val="32"/>
          <w:highlight w:val="none"/>
        </w:rPr>
        <w:t xml:space="preserve">商务响应偏离表</w:t>
      </w:r>
      <w:r>
        <w:rPr>
          <w:rFonts w:eastAsia="宋体"/>
          <w:b/>
          <w:bCs/>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5"/>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5"/>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5"/>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bl>
    <w:p>
      <w:pPr>
        <w:pStyle w:val="685"/>
        <w:ind w:left="482" w:hanging="482"/>
        <w:jc w:val="left"/>
        <w:spacing w:line="300" w:lineRule="auto"/>
        <w:rPr>
          <w:rFonts w:hint="eastAsia" w:ascii="宋体" w:hAnsi="宋体"/>
          <w:b/>
          <w:sz w:val="24"/>
          <w:highlight w:val="none"/>
        </w:rPr>
      </w:pPr>
      <w:r>
        <w:rPr>
          <w:rFonts w:hint="eastAsia" w:ascii="宋体" w:hAnsi="宋体"/>
          <w:b/>
          <w:sz w:val="24"/>
          <w:highlight w:val="none"/>
        </w:rPr>
      </w:r>
      <w:r/>
    </w:p>
    <w:p>
      <w:pPr>
        <w:pStyle w:val="685"/>
        <w:ind w:left="482" w:hanging="482"/>
        <w:jc w:val="left"/>
        <w:spacing w:line="30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685"/>
        <w:jc w:val="left"/>
        <w:spacing w:after="58" w:line="30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w:t>
      </w:r>
      <w:bookmarkStart w:id="564" w:name="_Hlk28858839"/>
      <w:r>
        <w:rPr>
          <w:rFonts w:hint="eastAsia" w:ascii="宋体" w:hAnsi="宋体"/>
          <w:b/>
          <w:bCs/>
          <w:sz w:val="24"/>
          <w:highlight w:val="none"/>
        </w:rPr>
        <w:t xml:space="preserve"> 项目需求”</w:t>
      </w:r>
      <w:bookmarkEnd w:id="564"/>
      <w:r>
        <w:rPr>
          <w:rFonts w:hint="eastAsia" w:ascii="宋体" w:hAnsi="宋体"/>
          <w:sz w:val="24"/>
          <w:highlight w:val="none"/>
        </w:rPr>
        <w:t xml:space="preserve">逐项填列</w:t>
      </w:r>
      <w:bookmarkStart w:id="565" w:name="_Hlk27472667"/>
      <w:r>
        <w:rPr>
          <w:rFonts w:hint="eastAsia" w:ascii="宋体" w:hAnsi="宋体"/>
          <w:sz w:val="24"/>
          <w:highlight w:val="none"/>
        </w:rPr>
        <w:t xml:space="preserve">，</w:t>
      </w:r>
      <w:bookmarkStart w:id="566" w:name="_Hlk45479488"/>
      <w:r>
        <w:rPr>
          <w:rFonts w:hint="eastAsia" w:ascii="宋体" w:hAnsi="宋体"/>
          <w:sz w:val="24"/>
          <w:highlight w:val="none"/>
        </w:rPr>
        <w:t xml:space="preserve">如需提供相应证明材料的，应在“备注”栏注明证明材料在投标文件中的页码位置；</w:t>
      </w:r>
      <w:r>
        <w:rPr>
          <w:rFonts w:hint="eastAsia" w:ascii="宋体" w:hAnsi="宋体"/>
          <w:sz w:val="24"/>
          <w:highlight w:val="none"/>
        </w:rPr>
      </w:r>
      <w:r/>
    </w:p>
    <w:p>
      <w:pPr>
        <w:pStyle w:val="685"/>
        <w:jc w:val="left"/>
        <w:spacing w:after="58" w:line="300" w:lineRule="auto"/>
        <w:rPr>
          <w:rFonts w:ascii="宋体" w:hAnsi="宋体"/>
          <w:sz w:val="24"/>
          <w:highlight w:val="none"/>
        </w:rPr>
      </w:pPr>
      <w:r/>
      <w:bookmarkEnd w:id="566"/>
      <w:r>
        <w:rPr>
          <w:rFonts w:hint="eastAsia" w:ascii="宋体" w:hAnsi="宋体"/>
          <w:sz w:val="24"/>
          <w:highlight w:val="none"/>
        </w:rPr>
        <w:t xml:space="preserve">2、如参与多个分包的，请各投标供应商按所投分包分别列表。</w:t>
      </w:r>
      <w:r>
        <w:rPr>
          <w:rFonts w:ascii="宋体" w:hAnsi="宋体"/>
          <w:sz w:val="24"/>
          <w:highlight w:val="none"/>
        </w:rPr>
      </w:r>
      <w:r/>
    </w:p>
    <w:p>
      <w:pPr>
        <w:pStyle w:val="685"/>
        <w:rPr>
          <w:rFonts w:ascii="黑体" w:hAnsi="Arial" w:eastAsia="黑体"/>
          <w:sz w:val="32"/>
          <w:highlight w:val="none"/>
        </w:rPr>
      </w:pPr>
      <w:r/>
      <w:bookmarkEnd w:id="563"/>
      <w:r/>
      <w:bookmarkEnd w:id="565"/>
      <w:r>
        <w:rPr>
          <w:rFonts w:ascii="黑体" w:hAnsi="Arial" w:eastAsia="黑体"/>
          <w:sz w:val="32"/>
          <w:highlight w:val="none"/>
        </w:rPr>
      </w:r>
      <w:r/>
    </w:p>
    <w:p>
      <w:pPr>
        <w:pStyle w:val="685"/>
        <w:rPr>
          <w:highlight w:val="none"/>
        </w:rPr>
      </w:pPr>
      <w:r/>
      <w:bookmarkEnd w:id="461"/>
      <w:r/>
      <w:bookmarkEnd w:id="462"/>
      <w:r/>
      <w:bookmarkEnd w:id="532"/>
      <w:r/>
      <w:bookmarkStart w:id="567" w:name="_格式2__法定代表人授权书"/>
      <w:r/>
      <w:bookmarkEnd w:id="567"/>
      <w:r/>
      <w:bookmarkStart w:id="568" w:name="_Hlt26955054"/>
      <w:r/>
      <w:bookmarkEnd w:id="568"/>
      <w:r/>
      <w:bookmarkStart w:id="569" w:name="_Toc9363449"/>
      <w:r/>
      <w:bookmarkStart w:id="570" w:name="_Toc12887286"/>
      <w:r/>
      <w:bookmarkStart w:id="571" w:name="_Toc8485135"/>
      <w:r/>
      <w:bookmarkStart w:id="572" w:name="_Toc12708995"/>
      <w:r>
        <w:rPr>
          <w:highlight w:val="none"/>
        </w:rPr>
      </w:r>
      <w:r/>
    </w:p>
    <w:p>
      <w:pPr>
        <w:pStyle w:val="686"/>
        <w:jc w:val="left"/>
        <w:spacing w:before="145" w:after="145"/>
        <w:rPr>
          <w:rFonts w:hint="eastAsia" w:ascii="宋体" w:hAnsi="宋体" w:eastAsia="宋体"/>
          <w:b/>
          <w:sz w:val="32"/>
          <w:szCs w:val="32"/>
          <w:highlight w:val="none"/>
        </w:rPr>
      </w:pPr>
      <w:r>
        <w:rPr>
          <w:rFonts w:ascii="宋体" w:hAnsi="宋体" w:eastAsia="宋体"/>
          <w:b/>
          <w:sz w:val="32"/>
          <w:szCs w:val="32"/>
          <w:highlight w:val="none"/>
        </w:rPr>
        <w:br w:type="page" w:clear="all"/>
      </w:r>
      <w:bookmarkStart w:id="573" w:name="_Toc17678"/>
      <w:r>
        <w:rPr>
          <w:rFonts w:hint="eastAsia" w:ascii="宋体" w:hAnsi="宋体" w:eastAsia="宋体"/>
          <w:b/>
          <w:sz w:val="32"/>
          <w:szCs w:val="32"/>
          <w:highlight w:val="none"/>
        </w:rPr>
        <w:t xml:space="preserve">附件</w:t>
      </w:r>
      <w:bookmarkEnd w:id="569"/>
      <w:r/>
      <w:bookmarkEnd w:id="570"/>
      <w:r/>
      <w:bookmarkEnd w:id="571"/>
      <w:r/>
      <w:bookmarkEnd w:id="572"/>
      <w:r/>
      <w:bookmarkStart w:id="574" w:name="_Hlk8826879"/>
      <w:r/>
      <w:bookmarkStart w:id="575" w:name="_Toc9363451"/>
      <w:r/>
      <w:bookmarkStart w:id="576" w:name="_Toc8485138"/>
      <w:r/>
      <w:bookmarkStart w:id="577" w:name="_Toc12887287"/>
      <w:r/>
      <w:bookmarkStart w:id="578" w:name="_Toc12708996"/>
      <w:r>
        <w:rPr>
          <w:rFonts w:hint="eastAsia" w:ascii="宋体" w:hAnsi="宋体" w:eastAsia="宋体"/>
          <w:b/>
          <w:sz w:val="32"/>
          <w:szCs w:val="32"/>
          <w:highlight w:val="none"/>
        </w:rPr>
        <w:t xml:space="preserve">：</w:t>
      </w:r>
      <w:bookmarkEnd w:id="573"/>
      <w:r>
        <w:rPr>
          <w:rFonts w:hint="eastAsia" w:ascii="宋体" w:hAnsi="宋体" w:eastAsia="宋体"/>
          <w:b/>
          <w:sz w:val="32"/>
          <w:szCs w:val="32"/>
          <w:highlight w:val="none"/>
        </w:rPr>
      </w:r>
      <w:r/>
    </w:p>
    <w:p>
      <w:pPr>
        <w:pStyle w:val="818"/>
        <w:tabs>
          <w:tab w:val="left" w:pos="9193" w:leader="none"/>
          <w:tab w:val="left" w:pos="9827" w:leader="none"/>
        </w:tabs>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技术负责人、报告审核人</w:t>
      </w:r>
      <w:r>
        <w:rPr>
          <w:rFonts w:hint="eastAsia" w:ascii="宋体" w:hAnsi="宋体" w:eastAsia="宋体" w:cs="宋体"/>
          <w:b/>
          <w:bCs/>
          <w:sz w:val="32"/>
          <w:szCs w:val="32"/>
          <w:highlight w:val="none"/>
        </w:rPr>
      </w:r>
      <w:r/>
    </w:p>
    <w:tbl>
      <w:tblPr>
        <w:tblW w:w="98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47"/>
        <w:gridCol w:w="948"/>
        <w:gridCol w:w="948"/>
        <w:gridCol w:w="948"/>
        <w:gridCol w:w="947"/>
        <w:gridCol w:w="948"/>
        <w:gridCol w:w="947"/>
        <w:gridCol w:w="1076"/>
        <w:gridCol w:w="1379"/>
      </w:tblGrid>
      <w:tr>
        <w:trPr>
          <w:trHeight w:val="1274"/>
        </w:trPr>
        <w:tc>
          <w:tcPr>
            <w:tcW w:w="740"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所属</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单位</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岗位</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资质</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076"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工作经历</w:t>
            </w:r>
            <w:r>
              <w:rPr>
                <w:rFonts w:hint="eastAsia" w:ascii="宋体" w:hAnsi="宋体" w:cs="宋体"/>
                <w:b/>
                <w:color w:val="000000"/>
                <w:szCs w:val="21"/>
                <w:highlight w:val="none"/>
              </w:rPr>
            </w:r>
            <w:r/>
          </w:p>
        </w:tc>
        <w:tc>
          <w:tcPr>
            <w:tcW w:w="1379"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在投标文件中的页码位置</w:t>
            </w:r>
            <w:r>
              <w:rPr>
                <w:rFonts w:hint="eastAsia" w:ascii="宋体" w:hAnsi="宋体" w:cs="宋体"/>
                <w:b/>
                <w:color w:val="000000"/>
                <w:szCs w:val="21"/>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人员台账及身份证、学历（专业）证书、职称证书（资格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
          <w:szCs w:val="21"/>
          <w:highlight w:val="none"/>
        </w:rPr>
      </w:r>
      <w:r/>
    </w:p>
    <w:p>
      <w:pPr>
        <w:pStyle w:val="722"/>
        <w:spacing w:line="360" w:lineRule="auto"/>
        <w:rPr>
          <w:rFonts w:hint="eastAsia" w:hAnsi="宋体" w:cs="宋体"/>
          <w:b/>
          <w:sz w:val="21"/>
          <w:szCs w:val="21"/>
          <w:highlight w:val="none"/>
        </w:rPr>
      </w:pPr>
      <w:r>
        <w:rPr>
          <w:rFonts w:hint="eastAsia" w:hAnsi="宋体" w:cs="宋体"/>
          <w:b/>
          <w:sz w:val="21"/>
          <w:szCs w:val="21"/>
          <w:highlight w:val="none"/>
        </w:rPr>
        <w:t xml:space="preserve">注：鉴定评审报告批准、审核人员可相互兼任。</w:t>
      </w:r>
      <w:r>
        <w:rPr>
          <w:rFonts w:hint="eastAsia" w:hAnsi="宋体" w:cs="宋体"/>
          <w:b/>
          <w:sz w:val="21"/>
          <w:szCs w:val="21"/>
          <w:highlight w:val="none"/>
        </w:rPr>
      </w:r>
      <w:r/>
    </w:p>
    <w:p>
      <w:pPr>
        <w:pStyle w:val="722"/>
        <w:ind w:firstLine="3780"/>
        <w:spacing w:line="360" w:lineRule="auto"/>
        <w:rPr>
          <w:rFonts w:hint="eastAsia" w:hAnsi="宋体" w:cs="宋体"/>
          <w:sz w:val="21"/>
          <w:szCs w:val="21"/>
          <w:highlight w:val="none"/>
        </w:rPr>
      </w:pPr>
      <w:r>
        <w:rPr>
          <w:rFonts w:hint="eastAsia" w:hAnsi="宋体" w:cs="宋体"/>
          <w:sz w:val="21"/>
          <w:szCs w:val="21"/>
          <w:highlight w:val="none"/>
        </w:rPr>
      </w:r>
      <w:r/>
    </w:p>
    <w:p>
      <w:pPr>
        <w:pStyle w:val="722"/>
        <w:spacing w:line="360" w:lineRule="auto"/>
        <w:rPr>
          <w:rFonts w:hint="eastAsia" w:hAnsi="宋体" w:cs="宋体"/>
          <w:b/>
          <w:bCs/>
          <w:sz w:val="21"/>
          <w:szCs w:val="21"/>
          <w:highlight w:val="none"/>
        </w:rPr>
      </w:pPr>
      <w:r>
        <w:rPr>
          <w:rFonts w:hint="eastAsia" w:hAnsi="宋体" w:cs="宋体"/>
          <w:b/>
          <w:bCs/>
          <w:sz w:val="21"/>
          <w:szCs w:val="21"/>
          <w:highlight w:val="none"/>
        </w:rPr>
        <w:t xml:space="preserve">投标人名称（公章）：</w:t>
      </w:r>
      <w:r>
        <w:rPr>
          <w:rFonts w:hint="eastAsia" w:hAnsi="宋体" w:cs="宋体"/>
          <w:b/>
          <w:bCs/>
          <w:sz w:val="21"/>
          <w:szCs w:val="21"/>
          <w:highlight w:val="none"/>
        </w:rPr>
      </w:r>
      <w:r/>
    </w:p>
    <w:p>
      <w:pPr>
        <w:pStyle w:val="722"/>
        <w:ind w:right="420"/>
        <w:jc w:val="left"/>
        <w:spacing w:line="360" w:lineRule="auto"/>
        <w:rPr>
          <w:rFonts w:hint="eastAsia" w:hAnsi="宋体" w:cs="宋体"/>
          <w:b/>
          <w:bCs/>
          <w:sz w:val="21"/>
          <w:szCs w:val="21"/>
          <w:highlight w:val="none"/>
        </w:rPr>
      </w:pPr>
      <w:r>
        <w:rPr>
          <w:rFonts w:hint="eastAsia" w:hAnsi="宋体" w:cs="宋体"/>
          <w:b/>
          <w:bCs/>
          <w:sz w:val="21"/>
          <w:szCs w:val="21"/>
          <w:highlight w:val="none"/>
        </w:rPr>
        <w:t xml:space="preserve">法定代表人（单位负责人）</w:t>
      </w:r>
      <w:r>
        <w:rPr>
          <w:rFonts w:hint="eastAsia" w:hAnsi="宋体" w:cs="宋体"/>
          <w:b/>
          <w:bCs/>
          <w:sz w:val="21"/>
          <w:szCs w:val="21"/>
          <w:highlight w:val="none"/>
        </w:rPr>
      </w:r>
      <w:r/>
    </w:p>
    <w:p>
      <w:pPr>
        <w:pStyle w:val="722"/>
        <w:ind w:right="420"/>
        <w:jc w:val="left"/>
        <w:spacing w:line="360" w:lineRule="auto"/>
        <w:rPr>
          <w:rFonts w:hint="eastAsia" w:hAnsi="宋体" w:cs="宋体"/>
          <w:b/>
          <w:bCs/>
          <w:sz w:val="21"/>
          <w:szCs w:val="21"/>
          <w:highlight w:val="none"/>
        </w:rPr>
      </w:pPr>
      <w:r>
        <w:rPr>
          <w:rFonts w:hint="eastAsia" w:hAnsi="宋体" w:cs="宋体"/>
          <w:b/>
          <w:bCs/>
          <w:sz w:val="21"/>
          <w:szCs w:val="21"/>
          <w:highlight w:val="none"/>
        </w:rPr>
        <w:t xml:space="preserve">或其授权代表（签字或盖章）：</w:t>
      </w:r>
      <w:r>
        <w:rPr>
          <w:rFonts w:hint="eastAsia" w:hAnsi="宋体" w:cs="宋体"/>
          <w:b/>
          <w:bCs/>
          <w:sz w:val="21"/>
          <w:szCs w:val="21"/>
          <w:highlight w:val="none"/>
        </w:rPr>
      </w:r>
      <w:r/>
    </w:p>
    <w:p>
      <w:pPr>
        <w:pStyle w:val="784"/>
        <w:ind w:left="0"/>
        <w:spacing w:line="360" w:lineRule="auto"/>
        <w:rPr>
          <w:rFonts w:hint="eastAsia" w:hAnsi="宋体" w:cs="宋体"/>
          <w:bCs/>
          <w:sz w:val="21"/>
          <w:szCs w:val="21"/>
          <w:highlight w:val="none"/>
        </w:rPr>
      </w:pPr>
      <w:r>
        <w:rPr>
          <w:rFonts w:hint="eastAsia" w:hAnsi="宋体" w:cs="宋体"/>
          <w:bCs/>
          <w:sz w:val="21"/>
          <w:szCs w:val="21"/>
          <w:highlight w:val="none"/>
        </w:rPr>
        <w:t xml:space="preserve">日期：______年____月____日</w:t>
      </w:r>
      <w:r>
        <w:rPr>
          <w:rFonts w:hint="eastAsia" w:hAnsi="宋体" w:cs="宋体"/>
          <w:bCs/>
          <w:sz w:val="21"/>
          <w:szCs w:val="21"/>
          <w:highlight w:val="none"/>
        </w:rPr>
      </w:r>
      <w:r/>
    </w:p>
    <w:p>
      <w:pPr>
        <w:pStyle w:val="818"/>
        <w:tabs>
          <w:tab w:val="left" w:pos="9193" w:leader="none"/>
          <w:tab w:val="left" w:pos="9827" w:leader="none"/>
        </w:tabs>
        <w:rPr>
          <w:rFonts w:hint="eastAsia" w:ascii="宋体" w:hAnsi="宋体" w:eastAsia="宋体" w:cs="宋体"/>
          <w:sz w:val="24"/>
          <w:highlight w:val="none"/>
        </w:rPr>
      </w:pPr>
      <w:r>
        <w:rPr>
          <w:rFonts w:hint="eastAsia" w:ascii="宋体" w:hAnsi="宋体" w:eastAsia="宋体" w:cs="宋体"/>
          <w:b/>
          <w:bCs/>
          <w:sz w:val="21"/>
          <w:szCs w:val="21"/>
          <w:highlight w:val="none"/>
        </w:rPr>
        <w:br w:type="page" w:clear="all"/>
      </w:r>
      <w:r>
        <w:rPr>
          <w:rFonts w:hint="eastAsia" w:ascii="宋体" w:hAnsi="宋体" w:eastAsia="宋体" w:cs="宋体"/>
          <w:b/>
          <w:bCs/>
          <w:sz w:val="36"/>
          <w:szCs w:val="36"/>
          <w:highlight w:val="none"/>
        </w:rPr>
        <w:t xml:space="preserve">评审人员</w:t>
      </w:r>
      <w:r>
        <w:rPr>
          <w:rFonts w:hint="eastAsia" w:ascii="宋体" w:hAnsi="宋体" w:eastAsia="宋体" w:cs="宋体"/>
          <w:sz w:val="24"/>
          <w:highlight w:val="none"/>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64"/>
        <w:gridCol w:w="894"/>
        <w:gridCol w:w="1271"/>
        <w:gridCol w:w="708"/>
        <w:gridCol w:w="851"/>
        <w:gridCol w:w="850"/>
        <w:gridCol w:w="1276"/>
        <w:gridCol w:w="1134"/>
        <w:gridCol w:w="1083"/>
      </w:tblGrid>
      <w:tr>
        <w:trPr>
          <w:trHeight w:val="1851"/>
        </w:trPr>
        <w:tc>
          <w:tcPr>
            <w:tcW w:w="765"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76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89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1271"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所属单位</w:t>
            </w:r>
            <w:r>
              <w:rPr>
                <w:rFonts w:hint="eastAsia" w:ascii="宋体" w:hAnsi="宋体" w:cs="宋体"/>
                <w:b/>
                <w:color w:val="000000"/>
                <w:szCs w:val="21"/>
                <w:highlight w:val="none"/>
              </w:rPr>
            </w:r>
            <w:r/>
          </w:p>
        </w:tc>
        <w:tc>
          <w:tcPr>
            <w:tcW w:w="70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岗位</w:t>
            </w:r>
            <w:r>
              <w:rPr>
                <w:rFonts w:hint="eastAsia" w:ascii="宋体" w:hAnsi="宋体" w:cs="宋体"/>
                <w:b/>
                <w:color w:val="000000"/>
                <w:szCs w:val="21"/>
                <w:highlight w:val="none"/>
              </w:rPr>
            </w:r>
            <w:r/>
          </w:p>
        </w:tc>
        <w:tc>
          <w:tcPr>
            <w:tcW w:w="851"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850"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276"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工作</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经历</w:t>
            </w:r>
            <w:r>
              <w:rPr>
                <w:rFonts w:hint="eastAsia" w:ascii="宋体" w:hAnsi="宋体" w:cs="宋体"/>
                <w:b/>
                <w:color w:val="000000"/>
                <w:szCs w:val="21"/>
                <w:highlight w:val="none"/>
              </w:rPr>
            </w:r>
            <w:r/>
          </w:p>
        </w:tc>
        <w:tc>
          <w:tcPr>
            <w:tcW w:w="113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人均评审</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任务数</w:t>
            </w:r>
            <w:r>
              <w:rPr>
                <w:rFonts w:hint="eastAsia" w:ascii="宋体" w:hAnsi="宋体" w:cs="宋体"/>
                <w:b/>
                <w:color w:val="000000"/>
                <w:szCs w:val="21"/>
                <w:highlight w:val="none"/>
              </w:rPr>
            </w:r>
            <w:r/>
          </w:p>
        </w:tc>
        <w:tc>
          <w:tcPr>
            <w:tcW w:w="1083"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在投标文件中的页码位置</w:t>
            </w:r>
            <w:r>
              <w:rPr>
                <w:rFonts w:hint="eastAsia" w:ascii="宋体" w:hAnsi="宋体" w:cs="宋体"/>
                <w:b/>
                <w:color w:val="000000"/>
                <w:szCs w:val="21"/>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人员台账及身份证、学历（专业）证书、职称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1、此项评审人员不得与前项人员重复，重复人员均不计分；</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2、从事特种设备生产单位许可鉴定评审、移动式压力容器气瓶充装鉴定评审、特种设备检验检测机构核准的评审人员也不得重复，重复人员均不计分。</w:t>
      </w:r>
      <w:r>
        <w:rPr>
          <w:rFonts w:hint="eastAsia" w:ascii="宋体" w:hAnsi="宋体" w:cs="宋体"/>
          <w:b/>
          <w:szCs w:val="21"/>
          <w:highlight w:val="none"/>
        </w:rPr>
      </w:r>
      <w:r/>
    </w:p>
    <w:p>
      <w:pPr>
        <w:pStyle w:val="722"/>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22"/>
        <w:spacing w:line="360" w:lineRule="auto"/>
        <w:rPr>
          <w:rFonts w:hint="eastAsia" w:hAnsi="宋体" w:cs="宋体"/>
          <w:b/>
          <w:sz w:val="21"/>
          <w:szCs w:val="21"/>
          <w:highlight w:val="none"/>
        </w:rPr>
      </w:pPr>
      <w:r>
        <w:rPr>
          <w:rFonts w:hint="eastAsia" w:hAnsi="宋体" w:cs="宋体"/>
          <w:b/>
          <w:sz w:val="21"/>
          <w:szCs w:val="21"/>
          <w:highlight w:val="none"/>
        </w:rPr>
        <w:t xml:space="preserve">投标人名称（公章）：</w:t>
      </w:r>
      <w:r>
        <w:rPr>
          <w:rFonts w:hint="eastAsia" w:hAnsi="宋体" w:cs="宋体"/>
          <w:b/>
          <w:sz w:val="21"/>
          <w:szCs w:val="21"/>
          <w:highlight w:val="none"/>
        </w:rPr>
      </w:r>
      <w:r/>
    </w:p>
    <w:p>
      <w:pPr>
        <w:pStyle w:val="722"/>
        <w:ind w:right="420"/>
        <w:jc w:val="left"/>
        <w:spacing w:line="360" w:lineRule="auto"/>
        <w:rPr>
          <w:rFonts w:hint="eastAsia" w:hAnsi="宋体" w:cs="宋体"/>
          <w:b/>
          <w:sz w:val="21"/>
          <w:szCs w:val="21"/>
          <w:highlight w:val="none"/>
        </w:rPr>
      </w:pPr>
      <w:r>
        <w:rPr>
          <w:rFonts w:hint="eastAsia" w:hAnsi="宋体" w:cs="宋体"/>
          <w:b/>
          <w:sz w:val="21"/>
          <w:szCs w:val="21"/>
          <w:highlight w:val="none"/>
        </w:rPr>
        <w:t xml:space="preserve">法定代表人（单位负责人）</w:t>
      </w:r>
      <w:r>
        <w:rPr>
          <w:rFonts w:hint="eastAsia" w:hAnsi="宋体" w:cs="宋体"/>
          <w:b/>
          <w:sz w:val="21"/>
          <w:szCs w:val="21"/>
          <w:highlight w:val="none"/>
        </w:rPr>
      </w:r>
      <w:r/>
    </w:p>
    <w:p>
      <w:pPr>
        <w:pStyle w:val="722"/>
        <w:ind w:right="420"/>
        <w:jc w:val="left"/>
        <w:spacing w:line="360" w:lineRule="auto"/>
        <w:rPr>
          <w:rFonts w:hint="eastAsia" w:hAnsi="宋体" w:cs="宋体"/>
          <w:b/>
          <w:sz w:val="21"/>
          <w:szCs w:val="21"/>
          <w:highlight w:val="none"/>
        </w:rPr>
      </w:pPr>
      <w:r>
        <w:rPr>
          <w:rFonts w:hint="eastAsia" w:hAnsi="宋体" w:cs="宋体"/>
          <w:b/>
          <w:sz w:val="21"/>
          <w:szCs w:val="21"/>
          <w:highlight w:val="none"/>
        </w:rPr>
        <w:t xml:space="preserve">或其授权代表（签字或盖章）：</w:t>
      </w:r>
      <w:r>
        <w:rPr>
          <w:rFonts w:hint="eastAsia" w:hAnsi="宋体" w:cs="宋体"/>
          <w:b/>
          <w:sz w:val="21"/>
          <w:szCs w:val="21"/>
          <w:highlight w:val="none"/>
        </w:rPr>
      </w:r>
      <w:r/>
    </w:p>
    <w:p>
      <w:pPr>
        <w:pStyle w:val="784"/>
        <w:ind w:left="0"/>
        <w:spacing w:line="360" w:lineRule="auto"/>
        <w:rPr>
          <w:rFonts w:hint="eastAsia" w:hAnsi="宋体" w:cs="宋体"/>
          <w:sz w:val="21"/>
          <w:szCs w:val="21"/>
          <w:highlight w:val="none"/>
        </w:rPr>
      </w:pPr>
      <w:r>
        <w:rPr>
          <w:rFonts w:hint="eastAsia" w:hAnsi="宋体" w:cs="宋体"/>
          <w:sz w:val="21"/>
          <w:szCs w:val="21"/>
          <w:highlight w:val="none"/>
        </w:rPr>
        <w:t xml:space="preserve">日期：______年____月____日</w:t>
      </w:r>
      <w:r>
        <w:rPr>
          <w:rFonts w:hint="eastAsia" w:hAnsi="宋体" w:cs="宋体"/>
          <w:sz w:val="21"/>
          <w:szCs w:val="21"/>
          <w:highlight w:val="none"/>
        </w:rPr>
      </w:r>
      <w:r/>
    </w:p>
    <w:p>
      <w:pPr>
        <w:pStyle w:val="818"/>
        <w:tabs>
          <w:tab w:val="left" w:pos="9193" w:leader="none"/>
          <w:tab w:val="left" w:pos="9827" w:leader="none"/>
        </w:tabs>
        <w:rPr>
          <w:rFonts w:ascii="Microsoft New Tai Lue" w:hAnsi="Microsoft New Tai Lue" w:cs="Microsoft New Tai Lue"/>
          <w:sz w:val="24"/>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sz w:val="36"/>
          <w:szCs w:val="36"/>
          <w:highlight w:val="none"/>
        </w:rPr>
        <w:t xml:space="preserve">工作业绩</w:t>
      </w:r>
      <w:r>
        <w:rPr>
          <w:rFonts w:ascii="Microsoft New Tai Lue" w:hAnsi="Microsoft New Tai Lue" w:cs="Microsoft New Tai Lue"/>
          <w:sz w:val="24"/>
          <w:highlight w:val="none"/>
        </w:rPr>
      </w:r>
      <w:r/>
    </w:p>
    <w:tbl>
      <w:tblPr>
        <w:tblW w:w="9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98"/>
        <w:gridCol w:w="2044"/>
        <w:gridCol w:w="1634"/>
        <w:gridCol w:w="1635"/>
        <w:gridCol w:w="1577"/>
      </w:tblGrid>
      <w:tr>
        <w:trPr>
          <w:trHeight w:val="726"/>
        </w:trPr>
        <w:tc>
          <w:tcPr>
            <w:tcW w:w="829"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序号</w:t>
            </w:r>
            <w:r>
              <w:rPr>
                <w:rFonts w:hint="eastAsia" w:ascii="宋体" w:hAnsi="宋体"/>
                <w:b/>
                <w:bCs/>
                <w:szCs w:val="21"/>
                <w:highlight w:val="none"/>
              </w:rPr>
            </w:r>
            <w:r/>
          </w:p>
        </w:tc>
        <w:tc>
          <w:tcPr>
            <w:tcW w:w="1898"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委托名称</w:t>
            </w:r>
            <w:r>
              <w:rPr>
                <w:rFonts w:hint="eastAsia" w:ascii="宋体" w:hAnsi="宋体"/>
                <w:b/>
                <w:bCs/>
                <w:szCs w:val="21"/>
                <w:highlight w:val="none"/>
              </w:rPr>
            </w:r>
            <w:r/>
          </w:p>
        </w:tc>
        <w:tc>
          <w:tcPr>
            <w:tcW w:w="2044"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鉴定评审内容</w:t>
            </w:r>
            <w:r>
              <w:rPr>
                <w:rFonts w:hint="eastAsia" w:ascii="宋体" w:hAnsi="宋体"/>
                <w:b/>
                <w:bCs/>
                <w:szCs w:val="21"/>
                <w:highlight w:val="none"/>
              </w:rPr>
            </w:r>
            <w:r/>
          </w:p>
        </w:tc>
        <w:tc>
          <w:tcPr>
            <w:tcW w:w="1634"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服务金额</w:t>
            </w:r>
            <w:r>
              <w:rPr>
                <w:rFonts w:hint="eastAsia" w:ascii="宋体" w:hAnsi="宋体"/>
                <w:b/>
                <w:bCs/>
                <w:szCs w:val="21"/>
                <w:highlight w:val="none"/>
              </w:rPr>
            </w:r>
            <w:r/>
          </w:p>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（万元）</w:t>
            </w:r>
            <w:r>
              <w:rPr>
                <w:rFonts w:hint="eastAsia" w:ascii="宋体" w:hAnsi="宋体"/>
                <w:b/>
                <w:bCs/>
                <w:szCs w:val="21"/>
                <w:highlight w:val="none"/>
              </w:rPr>
            </w:r>
            <w:r/>
          </w:p>
        </w:tc>
        <w:tc>
          <w:tcPr>
            <w:tcW w:w="1635"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委托单位</w:t>
            </w:r>
            <w:r>
              <w:rPr>
                <w:rFonts w:hint="eastAsia" w:ascii="宋体" w:hAnsi="宋体"/>
                <w:b/>
                <w:bCs/>
                <w:szCs w:val="21"/>
                <w:highlight w:val="none"/>
              </w:rPr>
            </w:r>
            <w:r/>
          </w:p>
        </w:tc>
        <w:tc>
          <w:tcPr>
            <w:tcW w:w="1577"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服务期</w:t>
            </w:r>
            <w:r>
              <w:rPr>
                <w:rFonts w:hint="eastAsia" w:ascii="宋体" w:hAnsi="宋体"/>
                <w:b/>
                <w:bCs/>
                <w:szCs w:val="21"/>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60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包4：须提供至少1次长输管道设计（GA1）鉴定评审业绩，若无则在所获总分基础上扣3分。</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包5：须提供至少1次甲类B1级及以上检验机构、至少1次电梯检测机构评审业绩，缺少1项则在所获总分基础上扣3分，本项最多扣6分。</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须提供委托评审通知（函）和对应的鉴定评审基本情况确认表（含企业盖章）。</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工作业绩评审项目与所投包内容一致。</w:t>
      </w:r>
      <w:r>
        <w:rPr>
          <w:rFonts w:hint="eastAsia" w:ascii="宋体" w:hAnsi="宋体" w:cs="宋体"/>
          <w:b/>
          <w:szCs w:val="21"/>
          <w:highlight w:val="none"/>
        </w:rPr>
      </w:r>
      <w:r/>
    </w:p>
    <w:p>
      <w:pPr>
        <w:pStyle w:val="722"/>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投标人名称（公章）：</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法定代表人（单位负责人）</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或其授权代表（签字或盖章）：</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日期：______年____月____日</w:t>
      </w:r>
      <w:r>
        <w:rPr>
          <w:rFonts w:hint="eastAsia" w:ascii="宋体" w:hAnsi="宋体" w:cs="宋体"/>
          <w:b/>
          <w:szCs w:val="21"/>
          <w:highlight w:val="none"/>
        </w:rPr>
      </w:r>
      <w:r/>
    </w:p>
    <w:p>
      <w:pPr>
        <w:pStyle w:val="784"/>
        <w:ind w:left="1260" w:firstLine="2520"/>
        <w:spacing w:line="360" w:lineRule="auto"/>
        <w:rPr>
          <w:rFonts w:hint="eastAsia" w:hAnsi="宋体" w:cs="宋体"/>
          <w:sz w:val="21"/>
          <w:szCs w:val="21"/>
          <w:highlight w:val="none"/>
        </w:rPr>
      </w:pPr>
      <w:r>
        <w:rPr>
          <w:rFonts w:hint="eastAsia" w:hAnsi="宋体" w:cs="宋体"/>
          <w:sz w:val="21"/>
          <w:szCs w:val="21"/>
          <w:highlight w:val="none"/>
        </w:rPr>
      </w:r>
      <w:r/>
    </w:p>
    <w:p>
      <w:pPr>
        <w:pStyle w:val="784"/>
        <w:ind w:left="1260" w:firstLine="2520"/>
        <w:spacing w:line="360" w:lineRule="auto"/>
        <w:rPr>
          <w:rFonts w:hint="eastAsia" w:hAnsi="宋体" w:cs="宋体"/>
          <w:bCs/>
          <w:highlight w:val="none"/>
        </w:rPr>
      </w:pPr>
      <w:r>
        <w:rPr>
          <w:rFonts w:hint="eastAsia" w:hAnsi="宋体" w:cs="宋体"/>
          <w:bCs/>
          <w:highlight w:val="none"/>
        </w:rPr>
      </w:r>
      <w:r/>
    </w:p>
    <w:p>
      <w:pPr>
        <w:pStyle w:val="855"/>
        <w:keepLines/>
        <w:keepNext/>
        <w:spacing w:line="240" w:lineRule="auto"/>
        <w:rPr>
          <w:b/>
          <w:bCs/>
          <w:sz w:val="28"/>
          <w:szCs w:val="28"/>
          <w:highlight w:val="none"/>
          <w:lang w:val="en-US" w:eastAsia="zh-CN" w:bidi="ar-SA"/>
        </w:rPr>
        <w:outlineLvl w:val="9"/>
      </w:pPr>
      <w:r>
        <w:rPr>
          <w:rFonts w:hint="eastAsia"/>
          <w:b/>
          <w:bCs/>
          <w:sz w:val="28"/>
          <w:szCs w:val="28"/>
          <w:highlight w:val="none"/>
          <w:lang w:val="en-US" w:eastAsia="zh-CN" w:bidi="ar-SA"/>
        </w:rPr>
        <w:br w:type="page" w:clear="all"/>
      </w:r>
      <w:r>
        <w:rPr>
          <w:rFonts w:hint="eastAsia"/>
          <w:b/>
          <w:bCs/>
          <w:sz w:val="28"/>
          <w:szCs w:val="28"/>
          <w:highlight w:val="none"/>
          <w:lang w:val="en-US" w:eastAsia="zh-CN" w:bidi="ar-SA"/>
        </w:rPr>
        <w:t xml:space="preserve">中小企业声明函（服务）</w:t>
      </w:r>
      <w:r>
        <w:rPr>
          <w:b/>
          <w:bCs/>
          <w:sz w:val="28"/>
          <w:szCs w:val="28"/>
          <w:highlight w:val="none"/>
          <w:lang w:val="en-US" w:eastAsia="zh-CN" w:bidi="ar-SA"/>
        </w:rPr>
      </w:r>
      <w:r/>
    </w:p>
    <w:p>
      <w:pPr>
        <w:pStyle w:val="856"/>
        <w:ind w:firstLine="640"/>
        <w:jc w:val="both"/>
        <w:spacing w:line="494" w:lineRule="exact"/>
        <w:rPr>
          <w:sz w:val="21"/>
          <w:szCs w:val="21"/>
          <w:highlight w:val="none"/>
          <w:lang w:val="en-US" w:eastAsia="zh-CN" w:bidi="ar-SA"/>
        </w:rPr>
      </w:pPr>
      <w:r>
        <w:rPr>
          <w:rFonts w:hint="eastAsia"/>
          <w:sz w:val="21"/>
          <w:szCs w:val="21"/>
          <w:highlight w:val="none"/>
          <w:lang w:val="en-US" w:eastAsia="zh-CN" w:bidi="ar-SA"/>
        </w:rPr>
        <w:t xml:space="preserve">本公司郑重声明，根据《政府采购促进中小企业发展管理办法》（财库〔2020）46号）的规定，本公司参加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（单位名称）的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（项目名称）的</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（标段名称）釆购活动，服务全部由符合政策要求的中小企业承接。相关企业的具体情况如下：</w:t>
      </w:r>
      <w:r>
        <w:rPr>
          <w:sz w:val="21"/>
          <w:szCs w:val="21"/>
          <w:highlight w:val="none"/>
          <w:lang w:val="en-US" w:eastAsia="zh-CN" w:bidi="ar-SA"/>
        </w:rPr>
      </w:r>
      <w:r/>
    </w:p>
    <w:p>
      <w:pPr>
        <w:pStyle w:val="856"/>
        <w:numPr>
          <w:ilvl w:val="0"/>
          <w:numId w:val="6"/>
        </w:numPr>
        <w:ind w:firstLine="420"/>
        <w:jc w:val="both"/>
        <w:spacing w:line="494" w:lineRule="exact"/>
        <w:tabs>
          <w:tab w:val="left" w:pos="1166" w:leader="none"/>
          <w:tab w:val="left" w:pos="6653" w:leader="none"/>
        </w:tabs>
        <w:rPr>
          <w:sz w:val="21"/>
          <w:szCs w:val="21"/>
          <w:highlight w:val="none"/>
          <w:lang w:val="zh-CN" w:eastAsia="zh-CN" w:bidi="ar-SA"/>
        </w:rPr>
      </w:pPr>
      <w:r/>
      <w:bookmarkStart w:id="579" w:name="bookmark26"/>
      <w:r/>
      <w:bookmarkEnd w:id="579"/>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zh-CN" w:eastAsia="zh-CN" w:bidi="ar-SA"/>
        </w:rPr>
      </w:r>
      <w:r/>
    </w:p>
    <w:p>
      <w:pPr>
        <w:pStyle w:val="856"/>
        <w:ind w:firstLine="420"/>
        <w:jc w:val="both"/>
        <w:spacing w:line="494" w:lineRule="exact"/>
        <w:tabs>
          <w:tab w:val="left" w:pos="1166" w:leader="none"/>
          <w:tab w:val="left" w:pos="6653" w:leader="none"/>
        </w:tabs>
        <w:rPr>
          <w:sz w:val="21"/>
          <w:szCs w:val="21"/>
          <w:highlight w:val="none"/>
          <w:lang w:val="en-US" w:eastAsia="zh-CN" w:bidi="ar-SA"/>
        </w:rPr>
      </w:pPr>
      <w:r>
        <w:rPr>
          <w:rFonts w:hint="eastAsia"/>
          <w:sz w:val="21"/>
          <w:szCs w:val="21"/>
          <w:highlight w:val="none"/>
          <w:lang w:val="en-US" w:eastAsia="zh-CN" w:bidi="ar-SA"/>
        </w:rPr>
        <w:t xml:space="preserve">2、</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en-US" w:eastAsia="zh-CN" w:bidi="ar-SA"/>
        </w:rPr>
      </w:r>
      <w:r/>
    </w:p>
    <w:p>
      <w:pPr>
        <w:pStyle w:val="856"/>
        <w:ind w:firstLine="0"/>
        <w:jc w:val="both"/>
        <w:spacing w:line="494" w:lineRule="exact"/>
        <w:tabs>
          <w:tab w:val="left" w:pos="1166" w:leader="none"/>
          <w:tab w:val="left" w:pos="6653" w:leader="none"/>
        </w:tabs>
        <w:rPr>
          <w:sz w:val="21"/>
          <w:szCs w:val="21"/>
          <w:highlight w:val="none"/>
          <w:lang w:val="en-US" w:eastAsia="zh-CN" w:bidi="ar-SA"/>
        </w:rPr>
      </w:pPr>
      <w:r>
        <w:rPr>
          <w:sz w:val="21"/>
          <w:szCs w:val="21"/>
          <w:highlight w:val="none"/>
          <w:lang w:val="en-US" w:eastAsia="zh-CN" w:bidi="ar-SA"/>
        </w:rPr>
      </w:r>
      <w:r/>
    </w:p>
    <w:p>
      <w:pPr>
        <w:pStyle w:val="856"/>
        <w:ind w:firstLine="640"/>
        <w:jc w:val="both"/>
        <w:spacing w:line="360" w:lineRule="auto"/>
        <w:rPr>
          <w:b/>
          <w:bCs/>
          <w:sz w:val="21"/>
          <w:szCs w:val="21"/>
          <w:highlight w:val="none"/>
          <w:lang w:val="en-US" w:eastAsia="zh-CN" w:bidi="ar-SA"/>
        </w:rPr>
      </w:pPr>
      <w:r/>
      <w:bookmarkStart w:id="580" w:name="bookmark27"/>
      <w:r/>
      <w:bookmarkEnd w:id="580"/>
      <w:r>
        <w:rPr>
          <w:rFonts w:hint="eastAsia"/>
          <w:b/>
          <w:bCs/>
          <w:sz w:val="21"/>
          <w:szCs w:val="21"/>
          <w:highlight w:val="none"/>
          <w:lang w:val="en-US" w:eastAsia="zh-CN" w:bidi="ar-SA"/>
        </w:rPr>
        <w:t xml:space="preserve">以上企业，不属于大企业的分支机构，不存在控股股东为大企业的情形，也不存在与大企业的负责人为同一人的情形。</w:t>
      </w:r>
      <w:r>
        <w:rPr>
          <w:b/>
          <w:bCs/>
          <w:sz w:val="21"/>
          <w:szCs w:val="21"/>
          <w:highlight w:val="none"/>
          <w:lang w:val="en-US" w:eastAsia="zh-CN" w:bidi="ar-SA"/>
        </w:rPr>
      </w:r>
      <w:r/>
    </w:p>
    <w:p>
      <w:pPr>
        <w:pStyle w:val="856"/>
        <w:ind w:firstLine="640"/>
        <w:jc w:val="both"/>
        <w:spacing w:line="360" w:lineRule="auto"/>
        <w:rPr>
          <w:b/>
          <w:bCs/>
          <w:sz w:val="21"/>
          <w:szCs w:val="21"/>
          <w:highlight w:val="none"/>
          <w:lang w:val="en-US" w:eastAsia="zh-CN" w:bidi="ar-SA"/>
        </w:rPr>
      </w:pPr>
      <w:r>
        <w:rPr>
          <w:rFonts w:hint="eastAsia"/>
          <w:b/>
          <w:bCs/>
          <w:sz w:val="21"/>
          <w:szCs w:val="21"/>
          <w:highlight w:val="none"/>
          <w:lang w:val="en-US" w:eastAsia="zh-CN" w:bidi="ar-SA"/>
        </w:rPr>
        <w:t xml:space="preserve">本企业对上述声明内容的真实性负责。如有虚假，将依法承担相应责任。</w:t>
      </w:r>
      <w:r>
        <w:rPr>
          <w:b/>
          <w:bCs/>
          <w:sz w:val="21"/>
          <w:szCs w:val="21"/>
          <w:highlight w:val="none"/>
          <w:lang w:val="en-US" w:eastAsia="zh-CN" w:bidi="ar-SA"/>
        </w:rPr>
      </w:r>
      <w:r/>
    </w:p>
    <w:p>
      <w:pPr>
        <w:pStyle w:val="685"/>
        <w:ind w:firstLine="420"/>
        <w:spacing w:line="360" w:lineRule="auto"/>
        <w:rPr>
          <w:rFonts w:ascii="宋体" w:cs="宋体"/>
          <w:szCs w:val="21"/>
          <w:highlight w:val="none"/>
          <w:lang w:val="zh-CN"/>
        </w:rPr>
      </w:pPr>
      <w:r>
        <w:rPr>
          <w:rFonts w:hint="eastAsia" w:ascii="宋体" w:cs="宋体"/>
          <w:szCs w:val="21"/>
          <w:highlight w:val="none"/>
          <w:lang w:val="zh-CN"/>
        </w:rPr>
        <w:t xml:space="preserve">供应商名称：</w:t>
      </w:r>
      <w:r>
        <w:rPr>
          <w:rFonts w:hint="eastAsia" w:ascii="宋体" w:cs="宋体"/>
          <w:szCs w:val="21"/>
          <w:highlight w:val="none"/>
          <w:u w:val="single"/>
          <w:lang w:val="zh-CN"/>
        </w:rPr>
        <w:t xml:space="preserve">                 </w:t>
      </w:r>
      <w:r>
        <w:rPr>
          <w:rFonts w:hint="eastAsia" w:ascii="宋体" w:cs="宋体"/>
          <w:szCs w:val="21"/>
          <w:highlight w:val="none"/>
          <w:lang w:val="zh-CN"/>
        </w:rPr>
        <w:t xml:space="preserve">（盖章）</w:t>
      </w:r>
      <w:r>
        <w:rPr>
          <w:rFonts w:ascii="宋体" w:cs="宋体"/>
          <w:szCs w:val="21"/>
          <w:highlight w:val="none"/>
          <w:lang w:val="zh-CN"/>
        </w:rPr>
      </w:r>
      <w:r/>
    </w:p>
    <w:p>
      <w:pPr>
        <w:pStyle w:val="68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法定代表人或授权委托人签字：</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ascii="宋体" w:cs="宋体"/>
          <w:szCs w:val="21"/>
          <w:highlight w:val="none"/>
          <w:lang w:val="zh-CN"/>
        </w:rPr>
      </w:r>
      <w:r/>
    </w:p>
    <w:p>
      <w:pPr>
        <w:pStyle w:val="685"/>
        <w:ind w:firstLine="420"/>
        <w:spacing w:line="360" w:lineRule="auto"/>
        <w:rPr>
          <w:rFonts w:ascii="宋体" w:cs="宋体"/>
          <w:szCs w:val="21"/>
          <w:highlight w:val="none"/>
          <w:lang w:val="zh-CN"/>
        </w:rPr>
      </w:pPr>
      <w:r>
        <w:rPr>
          <w:rFonts w:hint="eastAsia" w:ascii="宋体" w:cs="宋体"/>
          <w:szCs w:val="21"/>
          <w:highlight w:val="none"/>
          <w:lang w:val="zh-CN"/>
        </w:rPr>
        <w:t xml:space="preserve">日    期：</w:t>
      </w:r>
      <w:r>
        <w:rPr>
          <w:rFonts w:hint="eastAsia" w:ascii="宋体" w:cs="宋体"/>
          <w:szCs w:val="21"/>
          <w:highlight w:val="none"/>
          <w:u w:val="single"/>
          <w:lang w:val="zh-CN"/>
        </w:rPr>
        <w:t xml:space="preserve">       </w:t>
      </w:r>
      <w:r>
        <w:rPr>
          <w:rFonts w:hint="eastAsia" w:ascii="宋体" w:cs="宋体"/>
          <w:szCs w:val="21"/>
          <w:highlight w:val="none"/>
          <w:lang w:val="zh-CN"/>
        </w:rPr>
        <w:t xml:space="preserve">年</w:t>
      </w:r>
      <w:r>
        <w:rPr>
          <w:rFonts w:hint="eastAsia" w:ascii="宋体" w:cs="宋体"/>
          <w:szCs w:val="21"/>
          <w:highlight w:val="none"/>
          <w:u w:val="single"/>
          <w:lang w:val="zh-CN"/>
        </w:rPr>
        <w:t xml:space="preserve">    </w:t>
      </w:r>
      <w:r>
        <w:rPr>
          <w:rFonts w:hint="eastAsia" w:ascii="宋体" w:cs="宋体"/>
          <w:szCs w:val="21"/>
          <w:highlight w:val="none"/>
          <w:lang w:val="zh-CN"/>
        </w:rPr>
        <w:t xml:space="preserve">月</w:t>
      </w:r>
      <w:r>
        <w:rPr>
          <w:rFonts w:hint="eastAsia" w:ascii="宋体" w:cs="宋体"/>
          <w:szCs w:val="21"/>
          <w:highlight w:val="none"/>
          <w:u w:val="single"/>
          <w:lang w:val="zh-CN"/>
        </w:rPr>
        <w:t xml:space="preserve">    </w:t>
      </w:r>
      <w:r>
        <w:rPr>
          <w:rFonts w:hint="eastAsia" w:ascii="宋体" w:cs="宋体"/>
          <w:szCs w:val="21"/>
          <w:highlight w:val="none"/>
          <w:lang w:val="zh-CN"/>
        </w:rPr>
        <w:t xml:space="preserve">日</w:t>
      </w:r>
      <w:r>
        <w:rPr>
          <w:rFonts w:ascii="宋体" w:cs="宋体"/>
          <w:szCs w:val="21"/>
          <w:highlight w:val="none"/>
          <w:lang w:val="zh-CN"/>
        </w:rPr>
      </w:r>
      <w:r/>
    </w:p>
    <w:p>
      <w:pPr>
        <w:pStyle w:val="749"/>
        <w:ind w:firstLine="300"/>
        <w:rPr>
          <w:highlight w:val="none"/>
        </w:rPr>
      </w:pPr>
      <w:r>
        <w:rPr>
          <w:highlight w:val="none"/>
        </w:rPr>
      </w:r>
      <w:r/>
    </w:p>
    <w:p>
      <w:pPr>
        <w:pStyle w:val="853"/>
        <w:ind w:firstLine="420"/>
        <w:rPr>
          <w:highlight w:val="none"/>
        </w:rPr>
      </w:pPr>
      <w:r>
        <w:rPr>
          <w:highlight w:val="none"/>
        </w:rPr>
      </w:r>
      <w:r/>
    </w:p>
    <w:p>
      <w:pPr>
        <w:pStyle w:val="685"/>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备注：1.从业人员、营业收入、资产总额填报上一年度数据，无上一年度数据的新成立企业可不填报。</w:t>
      </w:r>
      <w:r>
        <w:rPr>
          <w:rFonts w:hint="eastAsia" w:ascii="宋体" w:hAnsi="宋体" w:cs="宋体"/>
          <w:b/>
          <w:bCs/>
          <w:szCs w:val="21"/>
          <w:highlight w:val="none"/>
        </w:rPr>
      </w:r>
      <w:r/>
    </w:p>
    <w:p>
      <w:pPr>
        <w:pStyle w:val="685"/>
        <w:ind w:firstLine="63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2.在政府采购活动中，供应商提供的货物、工程或者服务符合下列情形的，享受本办法规定的中小企业扶持政策：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4.如未对（中型企业、小型企业、微型企业）进行勾选，视同非小微企业，不可享受相应扶持政策。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5.中标单位为中小企业的，《中小企业声明函》将随中标结果同时公告。</w:t>
      </w:r>
      <w:r>
        <w:rPr>
          <w:rFonts w:hint="eastAsia" w:ascii="宋体" w:hAnsi="宋体" w:cs="宋体"/>
          <w:b/>
          <w:bCs/>
          <w:szCs w:val="21"/>
          <w:highlight w:val="none"/>
        </w:rPr>
      </w:r>
      <w:r/>
    </w:p>
    <w:p>
      <w:pPr>
        <w:pStyle w:val="685"/>
        <w:spacing w:line="360" w:lineRule="auto"/>
        <w:rPr>
          <w:rFonts w:hint="eastAsia" w:ascii="宋体" w:hAnsi="宋体" w:cs="宋体"/>
          <w:b/>
          <w:highlight w:val="none"/>
        </w:rPr>
      </w:pPr>
      <w:r>
        <w:rPr>
          <w:rFonts w:hint="eastAsia" w:ascii="宋体" w:hAnsi="宋体" w:cs="宋体"/>
          <w:b/>
          <w:highlight w:val="none"/>
        </w:rPr>
      </w:r>
      <w:r/>
    </w:p>
    <w:p>
      <w:pPr>
        <w:pStyle w:val="685"/>
        <w:spacing w:line="360" w:lineRule="auto"/>
        <w:rPr>
          <w:rFonts w:hint="eastAsia" w:ascii="宋体" w:hAnsi="宋体" w:cs="宋体"/>
          <w:b/>
          <w:highlight w:val="none"/>
        </w:rPr>
      </w:pPr>
      <w:r/>
      <w:bookmarkStart w:id="581" w:name="_Toc29858"/>
      <w:r>
        <w:rPr>
          <w:rFonts w:hint="eastAsia" w:ascii="宋体" w:hAnsi="宋体" w:cs="宋体"/>
          <w:b/>
          <w:highlight w:val="none"/>
        </w:rPr>
        <w:t xml:space="preserve">附：中小企业划型标准规定</w:t>
      </w:r>
      <w:bookmarkEnd w:id="581"/>
      <w:r>
        <w:rPr>
          <w:rFonts w:hint="eastAsia" w:ascii="宋体" w:hAnsi="宋体" w:cs="宋体"/>
          <w:b/>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（一）农、林、牧、渔业。</w:t>
      </w:r>
      <w:r>
        <w:rPr>
          <w:rFonts w:hint="eastAsia" w:ascii="宋体" w:hAnsi="宋体" w:cs="宋体"/>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（二）工业。</w:t>
      </w:r>
      <w:r>
        <w:rPr>
          <w:rFonts w:hint="eastAsia" w:ascii="宋体" w:hAnsi="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（三）建筑业。</w:t>
      </w:r>
      <w:r>
        <w:rPr>
          <w:rFonts w:hint="eastAsia" w:ascii="宋体" w:hAnsi="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（四）批发业。</w:t>
      </w:r>
      <w:r>
        <w:rPr>
          <w:rFonts w:hint="eastAsia" w:ascii="宋体" w:hAnsi="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（五）零售业。</w:t>
      </w:r>
      <w:r>
        <w:rPr>
          <w:rFonts w:hint="eastAsia" w:ascii="宋体" w:hAnsi="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（六）交通运输业。</w:t>
      </w:r>
      <w:r>
        <w:rPr>
          <w:rFonts w:hint="eastAsia" w:ascii="宋体" w:hAnsi="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（七）仓储业。</w:t>
      </w:r>
      <w:r>
        <w:rPr>
          <w:rFonts w:hint="eastAsia" w:ascii="宋体" w:hAnsi="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（八）邮政业。</w:t>
      </w:r>
      <w:r>
        <w:rPr>
          <w:rFonts w:hint="eastAsia" w:ascii="宋体" w:hAnsi="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（九）住宿业。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（十）餐饮业。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（十一）信息传输业。</w:t>
      </w:r>
      <w:r>
        <w:rPr>
          <w:rFonts w:hint="eastAsia" w:ascii="宋体" w:hAnsi="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（十二）软件和信息技术服务业。</w:t>
      </w:r>
      <w:r>
        <w:rPr>
          <w:rFonts w:hint="eastAsia" w:ascii="宋体" w:hAnsi="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（十三）房地产开发经营。</w:t>
      </w:r>
      <w:r>
        <w:rPr>
          <w:rFonts w:hint="eastAsia" w:ascii="宋体" w:hAnsi="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（十四）物业管理。</w:t>
      </w:r>
      <w:r>
        <w:rPr>
          <w:rFonts w:hint="eastAsia" w:ascii="宋体" w:hAnsi="宋体" w:cs="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（十五）租赁和商务服务业。</w:t>
      </w:r>
      <w:r>
        <w:rPr>
          <w:rFonts w:hint="eastAsia" w:ascii="宋体" w:hAnsi="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（十六）其他未列明行业。</w:t>
      </w:r>
      <w:r>
        <w:rPr>
          <w:rFonts w:hint="eastAsia" w:ascii="宋体" w:hAnsi="宋体" w:cs="宋体"/>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highlight w:val="none"/>
        </w:rPr>
      </w:r>
      <w:r/>
    </w:p>
    <w:p>
      <w:pPr>
        <w:pStyle w:val="818"/>
        <w:spacing w:line="360" w:lineRule="auto"/>
        <w:tabs>
          <w:tab w:val="left" w:pos="9193" w:leader="none"/>
          <w:tab w:val="left" w:pos="9827" w:leader="none"/>
        </w:tabs>
        <w:rPr>
          <w:rFonts w:hint="eastAsia" w:ascii="宋体" w:hAnsi="宋体" w:eastAsia="宋体" w:cs="宋体"/>
          <w:sz w:val="21"/>
          <w:szCs w:val="21"/>
          <w:highlight w:val="none"/>
        </w:rPr>
      </w:pPr>
      <w:r>
        <w:rPr>
          <w:rFonts w:hint="eastAsia" w:ascii="宋体" w:hAnsi="宋体"/>
          <w:highlight w:val="none"/>
        </w:rPr>
        <w:br w:type="page" w:clear="all"/>
      </w:r>
      <w:r>
        <w:rPr>
          <w:rFonts w:hint="eastAsia" w:ascii="宋体" w:hAnsi="宋体" w:eastAsia="宋体" w:cs="宋体"/>
          <w:b/>
          <w:bCs/>
          <w:sz w:val="28"/>
          <w:szCs w:val="28"/>
          <w:highlight w:val="none"/>
        </w:rPr>
        <w:t xml:space="preserve">联合体协议书（如需）</w:t>
      </w:r>
      <w:r>
        <w:rPr>
          <w:rFonts w:hint="eastAsia" w:ascii="宋体" w:hAnsi="宋体" w:eastAsia="宋体" w:cs="宋体"/>
          <w:sz w:val="21"/>
          <w:szCs w:val="21"/>
          <w:highlight w:val="none"/>
        </w:rPr>
      </w:r>
      <w:r/>
    </w:p>
    <w:p>
      <w:pPr>
        <w:pStyle w:val="685"/>
        <w:ind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______ 、 _____ 及 _____就“________（项目名称、项目编号）”____（分包号）包招标项目的投标事宜，经各方充分协商一致，达成如下协议：</w:t>
      </w:r>
      <w:r>
        <w:rPr>
          <w:rFonts w:hint="eastAsia" w:ascii="宋体" w:hAnsi="宋体" w:cs="宋体"/>
          <w:b/>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一、由_________牵头，_________、__________参加，组成联合体共同进行招标项目的投标工作。</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二、______为本次投标的牵头人，联合体以牵头人的名义参加投标，联合体中标后，联合体各方共同与采购人签订合同，就采购合同约定的事项对采购人承担连带责任。</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三、联合体各方均同意由牵头人代表其他联合体成员单位按招标文件要求出具《授权委托书》。</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四、牵头人为项目的总负责单位；组织各参加方进行项目实施工作。</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szCs w:val="21"/>
          <w:highlight w:val="none"/>
        </w:rPr>
      </w:pPr>
      <w:r>
        <w:rPr>
          <w:rFonts w:hint="eastAsia" w:ascii="宋体" w:hAnsi="宋体" w:cs="宋体"/>
          <w:szCs w:val="21"/>
          <w:highlight w:val="none"/>
        </w:rPr>
        <w:t xml:space="preserve">八、本项目联合协议合同总额为________元，联合体各成员按照如下比例分摊（按联合体成员分别列明）：</w:t>
      </w:r>
      <w:r>
        <w:rPr>
          <w:rFonts w:hint="eastAsia" w:ascii="宋体" w:hAnsi="宋体" w:cs="宋体"/>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80" w:leader="none"/>
          <w:tab w:val="left" w:pos="99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其他约定（如有）：_______。</w:t>
      </w:r>
      <w:r>
        <w:rPr>
          <w:rFonts w:hint="eastAsia" w:ascii="宋体" w:hAnsi="宋体" w:cs="宋体"/>
          <w:bCs/>
          <w:color w:val="000000"/>
          <w:szCs w:val="21"/>
          <w:highlight w:val="none"/>
        </w:rPr>
      </w:r>
      <w:r/>
    </w:p>
    <w:p>
      <w:pPr>
        <w:pStyle w:val="697"/>
        <w:ind w:right="694" w:firstLine="420"/>
        <w:spacing w:before="71" w:line="360" w:lineRule="auto"/>
        <w:rPr>
          <w:rFonts w:hint="eastAsia" w:ascii="宋体" w:hAnsi="宋体" w:cs="宋体"/>
          <w:szCs w:val="21"/>
          <w:highlight w:val="none"/>
        </w:rPr>
      </w:pPr>
      <w:r>
        <w:rPr>
          <w:rFonts w:hint="eastAsia" w:ascii="宋体" w:hAnsi="宋体" w:cs="宋体"/>
          <w:bCs/>
          <w:color w:val="000000"/>
          <w:szCs w:val="21"/>
          <w:highlight w:val="none"/>
        </w:rPr>
        <w:t xml:space="preserve">本协议自各方盖章后生效，采购合同履行完毕后自动失效。如未中标，本协议自动终止。</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1、联合体成员应按照许可类别、许可项目、许可子项目、许可产品、许可参数级别、项目所属区域或受理委托函编号序号等分类方式进行分工，以明确委派的许可评审任务由哪个联合体成员承担。</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2、本协议书由法定代表人（单位负责人）签字的，应附法定代表人（单位负责人）身份证明；由委托代理人签字的，应同时附法定代表人（单位负责人）授权书。</w:t>
      </w:r>
      <w:r>
        <w:rPr>
          <w:rFonts w:hint="eastAsia" w:ascii="宋体" w:hAnsi="宋体" w:cs="宋体"/>
          <w:szCs w:val="21"/>
          <w:highlight w:val="none"/>
        </w:rPr>
      </w:r>
      <w:r/>
    </w:p>
    <w:p>
      <w:pPr>
        <w:pStyle w:val="697"/>
        <w:spacing w:before="7" w:line="360" w:lineRule="auto"/>
        <w:rPr>
          <w:rFonts w:hint="eastAsia" w:ascii="宋体" w:hAnsi="宋体" w:cs="宋体"/>
          <w:szCs w:val="21"/>
          <w:highlight w:val="none"/>
        </w:rPr>
      </w:pPr>
      <w:r>
        <w:rPr>
          <w:rFonts w:hint="eastAsia" w:ascii="宋体" w:hAnsi="宋体" w:cs="宋体"/>
          <w:szCs w:val="21"/>
          <w:highlight w:val="none"/>
        </w:rPr>
      </w:r>
      <w:r/>
    </w:p>
    <w:p>
      <w:pPr>
        <w:pStyle w:val="697"/>
        <w:ind w:left="2810"/>
        <w:spacing w:before="1"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牵</w:t>
      </w:r>
      <w:r>
        <w:rPr>
          <w:rFonts w:hint="eastAsia" w:ascii="宋体" w:hAnsi="宋体" w:cs="宋体"/>
          <w:spacing w:val="-3"/>
          <w:szCs w:val="21"/>
          <w:highlight w:val="none"/>
        </w:rPr>
        <w:t xml:space="preserve">头</w:t>
      </w:r>
      <w:r>
        <w:rPr>
          <w:rFonts w:hint="eastAsia" w:ascii="宋体" w:hAnsi="宋体" w:cs="宋体"/>
          <w:szCs w:val="21"/>
          <w:highlight w:val="none"/>
        </w:rPr>
        <w:t xml:space="preserve">人</w:t>
      </w:r>
      <w:r>
        <w:rPr>
          <w:rFonts w:hint="eastAsia" w:ascii="宋体" w:hAnsi="宋体" w:cs="宋体"/>
          <w:spacing w:val="-3"/>
          <w:szCs w:val="21"/>
          <w:highlight w:val="none"/>
        </w:rPr>
        <w:t xml:space="preserve">名</w:t>
      </w:r>
      <w:r>
        <w:rPr>
          <w:rFonts w:hint="eastAsia" w:ascii="宋体" w:hAnsi="宋体" w:cs="宋体"/>
          <w:szCs w:val="21"/>
          <w:highlight w:val="none"/>
        </w:rPr>
        <w:t xml:space="preserve">称</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spacing w:before="8" w:line="360" w:lineRule="auto"/>
        <w:rPr>
          <w:rFonts w:hint="eastAsia" w:ascii="宋体" w:hAnsi="宋体" w:cs="宋体"/>
          <w:szCs w:val="21"/>
          <w:highlight w:val="none"/>
        </w:rPr>
      </w:pP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685"/>
        <w:ind w:firstLine="4410"/>
        <w:jc w:val="left"/>
        <w:spacing w:line="360" w:lineRule="auto"/>
        <w:rPr>
          <w:rFonts w:hint="eastAsia" w:ascii="宋体" w:hAnsi="宋体" w:cs="宋体"/>
          <w:b/>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rPr>
          <w:rFonts w:hint="eastAsia" w:ascii="宋体" w:hAnsi="宋体" w:cs="宋体"/>
          <w:b/>
          <w:szCs w:val="21"/>
          <w:highlight w:val="none"/>
        </w:rPr>
      </w:r>
      <w:r/>
    </w:p>
    <w:p>
      <w:pPr>
        <w:pStyle w:val="688"/>
        <w:jc w:val="center"/>
        <w:spacing w:before="0" w:after="200" w:line="240" w:lineRule="auto"/>
        <w:rPr>
          <w:bCs/>
          <w:highlight w:val="none"/>
        </w:rPr>
      </w:pPr>
      <w:r>
        <w:rPr>
          <w:rFonts w:hint="eastAsia"/>
          <w:highlight w:val="none"/>
        </w:rPr>
        <w:br w:type="page" w:clear="all"/>
      </w:r>
      <w:r>
        <w:rPr>
          <w:rFonts w:hint="eastAsia"/>
          <w:highlight w:val="none"/>
        </w:rPr>
        <w:t xml:space="preserve">质疑函范本</w:t>
      </w:r>
      <w:bookmarkEnd w:id="575"/>
      <w:r/>
      <w:bookmarkEnd w:id="576"/>
      <w:r/>
      <w:bookmarkEnd w:id="577"/>
      <w:r/>
      <w:bookmarkEnd w:id="578"/>
      <w:r>
        <w:rPr>
          <w:bCs/>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685"/>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400" w:lineRule="exact"/>
        <w:rPr>
          <w:rFonts w:ascii="宋体" w:hAnsi="宋体"/>
          <w:sz w:val="24"/>
          <w:highlight w:val="none"/>
        </w:rPr>
      </w:pPr>
      <w:r>
        <w:rPr>
          <w:rFonts w:ascii="宋体" w:hAnsi="宋体"/>
          <w:sz w:val="24"/>
          <w:highlight w:val="none"/>
        </w:rPr>
      </w:r>
      <w:r/>
    </w:p>
    <w:p>
      <w:pPr>
        <w:pStyle w:val="685"/>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685"/>
        <w:spacing w:line="400" w:lineRule="exact"/>
        <w:rPr>
          <w:rFonts w:ascii="宋体" w:hAnsi="宋体"/>
          <w:sz w:val="24"/>
          <w:highlight w:val="none"/>
        </w:rPr>
      </w:pPr>
      <w:r>
        <w:rPr>
          <w:rFonts w:ascii="宋体" w:hAnsi="宋体"/>
          <w:sz w:val="24"/>
          <w:highlight w:val="none"/>
        </w:rPr>
      </w:r>
      <w:r/>
    </w:p>
    <w:p>
      <w:pPr>
        <w:pStyle w:val="685"/>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685"/>
        <w:spacing w:line="320" w:lineRule="exact"/>
        <w:widowControl/>
        <w:rPr>
          <w:rFonts w:ascii="宋体" w:hAnsi="宋体"/>
          <w:highlight w:val="none"/>
        </w:rPr>
      </w:pPr>
      <w:r>
        <w:rPr>
          <w:rFonts w:hint="eastAsia" w:ascii="宋体" w:hAnsi="宋体"/>
          <w:highlight w:val="none"/>
        </w:rPr>
        <w:t xml:space="preserve">1.供应商提出质疑时，应提交质疑函和必要的证明材料。</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3.质疑供应商若对项目的某一分包进行质疑，质疑函中应列明具体分包号。</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4.质疑函的质疑事项应具体、明确，并有必要的事实依据和法律依据。</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5.质疑函的质疑请求应与质疑事项相关。</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bookmarkEnd w:id="517"/>
      <w:r/>
      <w:bookmarkEnd w:id="574"/>
      <w:r>
        <w:rPr>
          <w:rFonts w:ascii="宋体" w:hAnsi="宋体"/>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6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1">
    <w:multiLevelType w:val="hybridMultilevel"/>
    <w:lvl w:ilvl="0">
      <w:start w:val="1"/>
      <w:numFmt w:val="upperLetter"/>
      <w:pStyle w:val="823"/>
      <w:isLgl w:val="false"/>
      <w:suff w:val="tab"/>
      <w:lvlText w:val="附录%1."/>
      <w:lvlJc w:val="left"/>
      <w:pPr>
        <w:pStyle w:val="6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2"/>
      <w:isLgl w:val="false"/>
      <w:suff w:val="tab"/>
      <w:lvlText w:val="第%1章"/>
      <w:lvlJc w:val="left"/>
      <w:pPr>
        <w:pStyle w:val="685"/>
        <w:ind w:left="9351" w:hanging="420"/>
      </w:pPr>
      <w:rPr>
        <w:rFonts w:hint="eastAsia" w:ascii="黑体" w:eastAsia="黑体"/>
        <w:b w:val="0"/>
        <w:sz w:val="36"/>
        <w:lang w:val="en-US"/>
      </w:rPr>
    </w:lvl>
    <w:lvl w:ilvl="1">
      <w:start w:val="1"/>
      <w:numFmt w:val="decimal"/>
      <w:pStyle w:val="820"/>
      <w:isLgl w:val="false"/>
      <w:suff w:val="tab"/>
      <w:lvlText w:val="%1.%2"/>
      <w:lvlJc w:val="left"/>
      <w:pPr>
        <w:pStyle w:val="68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6"/>
      <w:isLgl w:val="false"/>
      <w:suff w:val="tab"/>
      <w:lvlText w:val="%1.%2.%3"/>
      <w:lvlJc w:val="left"/>
      <w:pPr>
        <w:pStyle w:val="68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6"/>
      <w:isLgl w:val="false"/>
      <w:suff w:val="tab"/>
      <w:lvlText w:val="%1.%2.%3.%4"/>
      <w:lvlJc w:val="left"/>
      <w:pPr>
        <w:pStyle w:val="685"/>
        <w:ind w:left="0" w:firstLine="0"/>
        <w:tabs>
          <w:tab w:val="num" w:pos="1134" w:leader="none"/>
        </w:tabs>
      </w:pPr>
      <w:rPr>
        <w:rFonts w:hint="eastAsia"/>
      </w:rPr>
    </w:lvl>
    <w:lvl w:ilvl="4">
      <w:start w:val="1"/>
      <w:numFmt w:val="decimal"/>
      <w:isLgl w:val="false"/>
      <w:suff w:val="tab"/>
      <w:lvlText w:val="%1.%2.%3.%4.%5"/>
      <w:lvlJc w:val="left"/>
      <w:pPr>
        <w:pStyle w:val="685"/>
        <w:ind w:left="4620" w:hanging="850"/>
        <w:tabs>
          <w:tab w:val="num" w:pos="4850" w:leader="none"/>
        </w:tabs>
      </w:pPr>
      <w:rPr>
        <w:rFonts w:hint="eastAsia"/>
      </w:rPr>
    </w:lvl>
    <w:lvl w:ilvl="5">
      <w:start w:val="1"/>
      <w:numFmt w:val="decimal"/>
      <w:isLgl w:val="false"/>
      <w:suff w:val="tab"/>
      <w:lvlText w:val="%1.%2.%3.%4.%5.%6"/>
      <w:lvlJc w:val="left"/>
      <w:pPr>
        <w:pStyle w:val="685"/>
        <w:ind w:left="5329" w:hanging="1134"/>
        <w:tabs>
          <w:tab w:val="num" w:pos="5635" w:leader="none"/>
        </w:tabs>
      </w:pPr>
      <w:rPr>
        <w:rFonts w:hint="eastAsia"/>
      </w:rPr>
    </w:lvl>
    <w:lvl w:ilvl="6">
      <w:start w:val="1"/>
      <w:numFmt w:val="decimal"/>
      <w:isLgl w:val="false"/>
      <w:suff w:val="tab"/>
      <w:lvlText w:val="%1.%2.%3.%4.%5.%6.%7"/>
      <w:lvlJc w:val="left"/>
      <w:pPr>
        <w:pStyle w:val="685"/>
        <w:ind w:left="5896" w:hanging="1276"/>
        <w:tabs>
          <w:tab w:val="num" w:pos="6420" w:leader="none"/>
        </w:tabs>
      </w:pPr>
      <w:rPr>
        <w:rFonts w:hint="eastAsia"/>
      </w:rPr>
    </w:lvl>
    <w:lvl w:ilvl="7">
      <w:start w:val="1"/>
      <w:numFmt w:val="decimal"/>
      <w:isLgl w:val="false"/>
      <w:suff w:val="tab"/>
      <w:lvlText w:val="%1.%2.%3.%4.%5.%6.%7.%8"/>
      <w:lvlJc w:val="left"/>
      <w:pPr>
        <w:pStyle w:val="685"/>
        <w:ind w:left="6463" w:hanging="1418"/>
        <w:tabs>
          <w:tab w:val="num" w:pos="6845" w:leader="none"/>
        </w:tabs>
      </w:pPr>
      <w:rPr>
        <w:rFonts w:hint="eastAsia"/>
      </w:rPr>
    </w:lvl>
    <w:lvl w:ilvl="8">
      <w:start w:val="1"/>
      <w:numFmt w:val="decimal"/>
      <w:isLgl w:val="false"/>
      <w:suff w:val="tab"/>
      <w:lvlText w:val="%1.%2.%3.%4.%5.%6.%7.%8.%9"/>
      <w:lvlJc w:val="left"/>
      <w:pPr>
        <w:pStyle w:val="685"/>
        <w:ind w:left="7171" w:hanging="1700"/>
        <w:tabs>
          <w:tab w:val="num" w:pos="7631" w:leader="none"/>
        </w:tabs>
      </w:pPr>
      <w:rPr>
        <w:rFonts w:hint="eastAsia"/>
      </w:rPr>
    </w:lvl>
  </w:abstractNum>
  <w:abstractNum w:abstractNumId="3">
    <w:multiLevelType w:val="hybridMultilevel"/>
    <w:lvl w:ilvl="0">
      <w:start w:val="1"/>
      <w:numFmt w:val="decimal"/>
      <w:pStyle w:val="815"/>
      <w:isLgl w:val="false"/>
      <w:suff w:val="tab"/>
      <w:lvlText w:val="%1."/>
      <w:lvlJc w:val="left"/>
      <w:pPr>
        <w:pStyle w:val="685"/>
        <w:ind w:left="709" w:hanging="709"/>
        <w:tabs>
          <w:tab w:val="num" w:pos="709" w:leader="none"/>
        </w:tabs>
      </w:pPr>
      <w:rPr>
        <w:rFonts w:hint="eastAsia"/>
      </w:rPr>
    </w:lvl>
    <w:lvl w:ilvl="1">
      <w:start w:val="1"/>
      <w:numFmt w:val="decimal"/>
      <w:isLgl w:val="false"/>
      <w:suff w:val="tab"/>
      <w:lvlText w:val="%1.%2"/>
      <w:lvlJc w:val="left"/>
      <w:pPr>
        <w:pStyle w:val="685"/>
        <w:ind w:left="709" w:hanging="709"/>
        <w:tabs>
          <w:tab w:val="num" w:pos="709" w:leader="none"/>
        </w:tabs>
      </w:pPr>
      <w:rPr>
        <w:rFonts w:hint="eastAsia"/>
      </w:rPr>
    </w:lvl>
    <w:lvl w:ilvl="2">
      <w:start w:val="1"/>
      <w:numFmt w:val="decimal"/>
      <w:isLgl w:val="false"/>
      <w:suff w:val="tab"/>
      <w:lvlText w:val="%1.%2.%3."/>
      <w:lvlJc w:val="left"/>
      <w:pPr>
        <w:pStyle w:val="685"/>
        <w:ind w:left="425" w:hanging="425"/>
        <w:tabs>
          <w:tab w:val="num" w:pos="425" w:leader="none"/>
        </w:tabs>
      </w:pPr>
      <w:rPr>
        <w:rFonts w:hint="eastAsia"/>
      </w:rPr>
    </w:lvl>
    <w:lvl w:ilvl="3">
      <w:start w:val="1"/>
      <w:numFmt w:val="decimal"/>
      <w:isLgl w:val="false"/>
      <w:suff w:val="tab"/>
      <w:lvlText w:val="%1.%2.%3.%4."/>
      <w:lvlJc w:val="left"/>
      <w:pPr>
        <w:pStyle w:val="685"/>
        <w:ind w:left="851" w:hanging="851"/>
        <w:tabs>
          <w:tab w:val="num" w:pos="851" w:leader="none"/>
        </w:tabs>
      </w:pPr>
      <w:rPr>
        <w:rFonts w:hint="eastAsia"/>
      </w:rPr>
    </w:lvl>
    <w:lvl w:ilvl="4">
      <w:start w:val="1"/>
      <w:numFmt w:val="decimal"/>
      <w:isLgl w:val="false"/>
      <w:suff w:val="tab"/>
      <w:lvlText w:val="%1.%2.%3.%4.%5."/>
      <w:lvlJc w:val="left"/>
      <w:pPr>
        <w:pStyle w:val="685"/>
        <w:ind w:left="992" w:hanging="992"/>
        <w:tabs>
          <w:tab w:val="num" w:pos="992" w:leader="none"/>
        </w:tabs>
      </w:pPr>
      <w:rPr>
        <w:rFonts w:hint="eastAsia"/>
      </w:rPr>
    </w:lvl>
    <w:lvl w:ilvl="5">
      <w:start w:val="1"/>
      <w:numFmt w:val="decimal"/>
      <w:isLgl w:val="false"/>
      <w:suff w:val="tab"/>
      <w:lvlText w:val="%1.%2.%3.%4.%5.%6."/>
      <w:lvlJc w:val="left"/>
      <w:pPr>
        <w:pStyle w:val="685"/>
        <w:ind w:left="1134" w:hanging="1134"/>
        <w:tabs>
          <w:tab w:val="num" w:pos="1134" w:leader="none"/>
        </w:tabs>
      </w:pPr>
      <w:rPr>
        <w:rFonts w:hint="eastAsia"/>
      </w:rPr>
    </w:lvl>
    <w:lvl w:ilvl="6">
      <w:start w:val="1"/>
      <w:numFmt w:val="decimal"/>
      <w:isLgl w:val="false"/>
      <w:suff w:val="tab"/>
      <w:lvlText w:val="%1.%2.%3.%4.%5.%6.%7."/>
      <w:lvlJc w:val="left"/>
      <w:pPr>
        <w:pStyle w:val="685"/>
        <w:ind w:left="1276" w:hanging="1276"/>
        <w:tabs>
          <w:tab w:val="num" w:pos="1276" w:leader="none"/>
        </w:tabs>
      </w:pPr>
      <w:rPr>
        <w:rFonts w:hint="eastAsia"/>
      </w:rPr>
    </w:lvl>
    <w:lvl w:ilvl="7">
      <w:start w:val="1"/>
      <w:numFmt w:val="decimal"/>
      <w:isLgl w:val="false"/>
      <w:suff w:val="tab"/>
      <w:lvlText w:val="%1.%2.%3.%4.%5.%6.%7.%8."/>
      <w:lvlJc w:val="left"/>
      <w:pPr>
        <w:pStyle w:val="685"/>
        <w:ind w:left="1418" w:hanging="1418"/>
        <w:tabs>
          <w:tab w:val="num" w:pos="1418" w:leader="none"/>
        </w:tabs>
      </w:pPr>
      <w:rPr>
        <w:rFonts w:hint="eastAsia"/>
      </w:rPr>
    </w:lvl>
    <w:lvl w:ilvl="8">
      <w:start w:val="1"/>
      <w:numFmt w:val="decimal"/>
      <w:isLgl w:val="false"/>
      <w:suff w:val="tab"/>
      <w:lvlText w:val="%1.%2.%3.%4.%5.%6.%7.%8.%9."/>
      <w:lvlJc w:val="left"/>
      <w:pPr>
        <w:pStyle w:val="685"/>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6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5"/>
        <w:ind w:left="0" w:firstLine="0"/>
      </w:pPr>
      <w:rPr>
        <w:rFonts w:hint="eastAsia"/>
      </w:rPr>
    </w:lvl>
    <w:lvl w:ilvl="1">
      <w:start w:val="1"/>
      <w:numFmt w:val="decimal"/>
      <w:isLgl w:val="false"/>
      <w:suff w:val="nothing"/>
      <w:lvlText w:val="%2、"/>
      <w:lvlJc w:val="left"/>
      <w:pPr>
        <w:pStyle w:val="685"/>
        <w:ind w:left="0" w:firstLine="0"/>
      </w:pPr>
      <w:rPr>
        <w:rFonts w:hint="eastAsia"/>
      </w:rPr>
    </w:lvl>
    <w:lvl w:ilvl="2">
      <w:start w:val="1"/>
      <w:numFmt w:val="decimal"/>
      <w:isLgl w:val="false"/>
      <w:suff w:val="nothing"/>
      <w:lvlText w:val="%2.%3 "/>
      <w:lvlJc w:val="left"/>
      <w:pPr>
        <w:pStyle w:val="685"/>
        <w:ind w:left="0" w:firstLine="0"/>
      </w:pPr>
      <w:rPr>
        <w:rFonts w:hint="eastAsia"/>
      </w:rPr>
    </w:lvl>
    <w:lvl w:ilvl="3">
      <w:start w:val="1"/>
      <w:numFmt w:val="decimal"/>
      <w:isLgl w:val="false"/>
      <w:suff w:val="nothing"/>
      <w:lvlText w:val="%2.%3.%4 "/>
      <w:lvlJc w:val="left"/>
      <w:pPr>
        <w:pStyle w:val="685"/>
        <w:ind w:left="0" w:firstLine="0"/>
      </w:pPr>
      <w:rPr>
        <w:rFonts w:hint="eastAsia"/>
      </w:rPr>
    </w:lvl>
    <w:lvl w:ilvl="4">
      <w:start w:val="1"/>
      <w:numFmt w:val="decimal"/>
      <w:isLgl w:val="false"/>
      <w:suff w:val="nothing"/>
      <w:lvlText w:val="%2.%3.%4.%5 "/>
      <w:lvlJc w:val="left"/>
      <w:pPr>
        <w:pStyle w:val="685"/>
        <w:ind w:left="0" w:firstLine="0"/>
      </w:pPr>
      <w:rPr>
        <w:rFonts w:hint="eastAsia"/>
      </w:rPr>
    </w:lvl>
    <w:lvl w:ilvl="5">
      <w:start w:val="1"/>
      <w:numFmt w:val="decimal"/>
      <w:pStyle w:val="691"/>
      <w:isLgl w:val="false"/>
      <w:suff w:val="nothing"/>
      <w:lvlText w:val=""/>
      <w:lvlJc w:val="left"/>
      <w:pPr>
        <w:pStyle w:val="685"/>
        <w:ind w:left="0" w:firstLine="0"/>
      </w:pPr>
      <w:rPr>
        <w:rFonts w:hint="eastAsia"/>
      </w:rPr>
    </w:lvl>
    <w:lvl w:ilvl="6">
      <w:start w:val="1"/>
      <w:numFmt w:val="decimal"/>
      <w:pStyle w:val="692"/>
      <w:isLgl w:val="false"/>
      <w:suff w:val="nothing"/>
      <w:lvlText w:val=""/>
      <w:lvlJc w:val="left"/>
      <w:pPr>
        <w:pStyle w:val="685"/>
        <w:ind w:left="0" w:firstLine="0"/>
      </w:pPr>
      <w:rPr>
        <w:rFonts w:hint="eastAsia"/>
      </w:rPr>
    </w:lvl>
    <w:lvl w:ilvl="7">
      <w:start w:val="1"/>
      <w:numFmt w:val="decimal"/>
      <w:pStyle w:val="693"/>
      <w:isLgl w:val="false"/>
      <w:suff w:val="nothing"/>
      <w:lvlText w:val=""/>
      <w:lvlJc w:val="left"/>
      <w:pPr>
        <w:pStyle w:val="685"/>
        <w:ind w:left="0" w:firstLine="0"/>
      </w:pPr>
      <w:rPr>
        <w:rFonts w:hint="eastAsia"/>
      </w:rPr>
    </w:lvl>
    <w:lvl w:ilvl="8">
      <w:start w:val="1"/>
      <w:numFmt w:val="decimal"/>
      <w:pStyle w:val="694"/>
      <w:isLgl w:val="false"/>
      <w:suff w:val="nothing"/>
      <w:lvlText w:val=""/>
      <w:lvlJc w:val="left"/>
      <w:pPr>
        <w:pStyle w:val="685"/>
        <w:ind w:left="0" w:firstLine="0"/>
      </w:pPr>
      <w:rPr>
        <w:rFonts w:hint="eastAsia"/>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97"/>
    <w:link w:val="685"/>
    <w:qFormat/>
    <w:pPr>
      <w:jc w:val="both"/>
      <w:widowControl w:val="off"/>
    </w:pPr>
    <w:rPr>
      <w:sz w:val="21"/>
      <w:szCs w:val="24"/>
      <w:lang w:val="en-US" w:eastAsia="zh-CN" w:bidi="ar-SA"/>
    </w:rPr>
  </w:style>
  <w:style w:type="paragraph" w:styleId="686">
    <w:name w:val="标题 1"/>
    <w:basedOn w:val="685"/>
    <w:next w:val="685"/>
    <w:link w:val="698"/>
    <w:qFormat/>
    <w:pPr>
      <w:keepNext/>
      <w:outlineLvl w:val="0"/>
    </w:pPr>
    <w:rPr>
      <w:rFonts w:ascii="楷体_GB2312" w:eastAsia="楷体_GB2312"/>
      <w:sz w:val="28"/>
      <w:szCs w:val="20"/>
    </w:rPr>
  </w:style>
  <w:style w:type="paragraph" w:styleId="687">
    <w:name w:val="标题 2"/>
    <w:basedOn w:val="685"/>
    <w:next w:val="685"/>
    <w:link w:val="699"/>
    <w:qFormat/>
    <w:pPr>
      <w:jc w:val="center"/>
      <w:keepLines/>
      <w:keepNext/>
      <w:spacing w:before="260" w:after="260" w:line="416" w:lineRule="auto"/>
      <w:outlineLvl w:val="1"/>
    </w:pPr>
    <w:rPr>
      <w:rFonts w:ascii="Arial" w:hAnsi="Arial" w:eastAsia="幼圆"/>
      <w:b/>
      <w:sz w:val="44"/>
      <w:szCs w:val="20"/>
    </w:rPr>
  </w:style>
  <w:style w:type="paragraph" w:styleId="688">
    <w:name w:val="标题 3"/>
    <w:basedOn w:val="685"/>
    <w:next w:val="685"/>
    <w:link w:val="700"/>
    <w:qFormat/>
    <w:pPr>
      <w:keepLines/>
      <w:keepNext/>
      <w:spacing w:before="260" w:after="260" w:line="416" w:lineRule="auto"/>
      <w:outlineLvl w:val="2"/>
    </w:pPr>
    <w:rPr>
      <w:b/>
      <w:sz w:val="32"/>
      <w:szCs w:val="20"/>
    </w:rPr>
  </w:style>
  <w:style w:type="paragraph" w:styleId="689">
    <w:name w:val="标题 4"/>
    <w:basedOn w:val="685"/>
    <w:next w:val="685"/>
    <w:link w:val="701"/>
    <w:qFormat/>
    <w:pPr>
      <w:keepLines/>
      <w:keepNext/>
      <w:spacing w:before="280" w:after="290" w:line="376" w:lineRule="auto"/>
      <w:outlineLvl w:val="3"/>
    </w:pPr>
    <w:rPr>
      <w:rFonts w:ascii="Arial" w:hAnsi="Arial" w:eastAsia="黑体"/>
      <w:b/>
      <w:bCs/>
      <w:sz w:val="28"/>
      <w:szCs w:val="28"/>
    </w:rPr>
  </w:style>
  <w:style w:type="paragraph" w:styleId="690">
    <w:name w:val="标题 5"/>
    <w:basedOn w:val="685"/>
    <w:next w:val="685"/>
    <w:link w:val="702"/>
    <w:qFormat/>
    <w:pPr>
      <w:keepNext/>
      <w:outlineLvl w:val="4"/>
    </w:pPr>
    <w:rPr>
      <w:rFonts w:ascii="宋体" w:hAnsi="宋体"/>
      <w:b/>
      <w:bCs/>
      <w:sz w:val="20"/>
    </w:rPr>
  </w:style>
  <w:style w:type="paragraph" w:styleId="691">
    <w:name w:val="标题 6"/>
    <w:basedOn w:val="685"/>
    <w:next w:val="685"/>
    <w:link w:val="703"/>
    <w:qFormat/>
    <w:pPr>
      <w:numPr>
        <w:ilvl w:val="5"/>
        <w:numId w:val="1"/>
      </w:numPr>
      <w:keepLines/>
      <w:keepNext/>
      <w:spacing w:before="240" w:after="64" w:line="320" w:lineRule="auto"/>
      <w:outlineLvl w:val="5"/>
    </w:pPr>
    <w:rPr>
      <w:rFonts w:ascii="Arial" w:hAnsi="Arial" w:eastAsia="黑体"/>
      <w:b/>
      <w:bCs/>
      <w:sz w:val="24"/>
    </w:rPr>
  </w:style>
  <w:style w:type="paragraph" w:styleId="692">
    <w:name w:val="标题 7"/>
    <w:basedOn w:val="685"/>
    <w:next w:val="685"/>
    <w:link w:val="704"/>
    <w:qFormat/>
    <w:pPr>
      <w:numPr>
        <w:ilvl w:val="6"/>
        <w:numId w:val="1"/>
      </w:numPr>
      <w:keepLines/>
      <w:keepNext/>
      <w:spacing w:before="240" w:after="64" w:line="320" w:lineRule="auto"/>
      <w:outlineLvl w:val="6"/>
    </w:pPr>
    <w:rPr>
      <w:rFonts w:ascii="Times New Roman" w:hAnsi="Times New Roman"/>
      <w:b/>
      <w:bCs/>
      <w:sz w:val="24"/>
    </w:rPr>
  </w:style>
  <w:style w:type="paragraph" w:styleId="693">
    <w:name w:val="标题 8"/>
    <w:basedOn w:val="685"/>
    <w:next w:val="685"/>
    <w:link w:val="705"/>
    <w:qFormat/>
    <w:pPr>
      <w:numPr>
        <w:ilvl w:val="7"/>
        <w:numId w:val="1"/>
      </w:numPr>
      <w:keepLines/>
      <w:keepNext/>
      <w:spacing w:before="240" w:after="64" w:line="320" w:lineRule="auto"/>
      <w:outlineLvl w:val="7"/>
    </w:pPr>
    <w:rPr>
      <w:rFonts w:ascii="Arial" w:hAnsi="Arial" w:eastAsia="黑体"/>
      <w:sz w:val="24"/>
    </w:rPr>
  </w:style>
  <w:style w:type="paragraph" w:styleId="694">
    <w:name w:val="标题 9"/>
    <w:basedOn w:val="685"/>
    <w:next w:val="685"/>
    <w:link w:val="706"/>
    <w:qFormat/>
    <w:pPr>
      <w:numPr>
        <w:ilvl w:val="8"/>
        <w:numId w:val="1"/>
      </w:numPr>
      <w:keepLines/>
      <w:keepNext/>
      <w:spacing w:before="240" w:after="64" w:line="320" w:lineRule="auto"/>
      <w:outlineLvl w:val="8"/>
    </w:pPr>
    <w:rPr>
      <w:rFonts w:ascii="Arial" w:hAnsi="Arial" w:eastAsia="黑体"/>
      <w:sz w:val="20"/>
      <w:szCs w:val="21"/>
    </w:rPr>
  </w:style>
  <w:style w:type="character" w:styleId="695">
    <w:name w:val="默认段落字体"/>
    <w:next w:val="695"/>
    <w:link w:val="685"/>
    <w:uiPriority w:val="1"/>
    <w:unhideWhenUsed/>
  </w:style>
  <w:style w:type="table" w:styleId="696">
    <w:name w:val="普通表格"/>
    <w:next w:val="696"/>
    <w:link w:val="685"/>
    <w:uiPriority w:val="99"/>
    <w:unhideWhenUsed/>
    <w:qFormat/>
    <w:tblPr/>
  </w:style>
  <w:style w:type="paragraph" w:styleId="697">
    <w:name w:val="正文文本1"/>
    <w:basedOn w:val="685"/>
    <w:next w:val="697"/>
    <w:link w:val="685"/>
    <w:uiPriority w:val="1"/>
    <w:qFormat/>
    <w:pPr>
      <w:spacing w:after="120"/>
    </w:pPr>
  </w:style>
  <w:style w:type="character" w:styleId="698">
    <w:name w:val="标题 1 Char"/>
    <w:next w:val="698"/>
    <w:link w:val="686"/>
    <w:uiPriority w:val="9"/>
    <w:rPr>
      <w:rFonts w:ascii="Calibri" w:hAnsi="Calibri" w:eastAsia="宋体" w:cs="Times New Roman"/>
      <w:b/>
      <w:bCs/>
      <w:sz w:val="44"/>
      <w:szCs w:val="44"/>
    </w:rPr>
  </w:style>
  <w:style w:type="character" w:styleId="699">
    <w:name w:val="标题 2 Char"/>
    <w:next w:val="699"/>
    <w:link w:val="687"/>
    <w:uiPriority w:val="9"/>
    <w:semiHidden/>
    <w:rPr>
      <w:rFonts w:ascii="Cambria" w:hAnsi="Cambria" w:eastAsia="宋体" w:cs="Times New Roman"/>
      <w:b/>
      <w:bCs/>
      <w:sz w:val="32"/>
      <w:szCs w:val="32"/>
    </w:rPr>
  </w:style>
  <w:style w:type="character" w:styleId="700">
    <w:name w:val="标题 3 Char"/>
    <w:next w:val="700"/>
    <w:link w:val="688"/>
    <w:uiPriority w:val="9"/>
    <w:semiHidden/>
    <w:rPr>
      <w:rFonts w:ascii="Calibri" w:hAnsi="Calibri" w:eastAsia="宋体" w:cs="Times New Roman"/>
      <w:b/>
      <w:bCs/>
      <w:sz w:val="32"/>
      <w:szCs w:val="32"/>
    </w:rPr>
  </w:style>
  <w:style w:type="character" w:styleId="701">
    <w:name w:val="标题 4 Char"/>
    <w:next w:val="701"/>
    <w:link w:val="689"/>
    <w:uiPriority w:val="9"/>
    <w:semiHidden/>
    <w:rPr>
      <w:rFonts w:ascii="Cambria" w:hAnsi="Cambria" w:eastAsia="宋体" w:cs="Times New Roman"/>
      <w:b/>
      <w:bCs/>
      <w:sz w:val="28"/>
      <w:szCs w:val="28"/>
    </w:rPr>
  </w:style>
  <w:style w:type="character" w:styleId="702">
    <w:name w:val="标题 5 Char"/>
    <w:next w:val="702"/>
    <w:link w:val="690"/>
    <w:uiPriority w:val="9"/>
    <w:semiHidden/>
    <w:rPr>
      <w:rFonts w:ascii="Calibri" w:hAnsi="Calibri" w:eastAsia="宋体" w:cs="Times New Roman"/>
      <w:b/>
      <w:bCs/>
      <w:sz w:val="28"/>
      <w:szCs w:val="28"/>
    </w:rPr>
  </w:style>
  <w:style w:type="character" w:styleId="703">
    <w:name w:val="标题 6 Char"/>
    <w:next w:val="703"/>
    <w:link w:val="691"/>
    <w:uiPriority w:val="9"/>
    <w:semiHidden/>
    <w:rPr>
      <w:rFonts w:ascii="Cambria" w:hAnsi="Cambria" w:eastAsia="宋体" w:cs="Times New Roman"/>
      <w:b/>
      <w:bCs/>
      <w:sz w:val="24"/>
      <w:szCs w:val="24"/>
    </w:rPr>
  </w:style>
  <w:style w:type="character" w:styleId="704">
    <w:name w:val="标题 7 Char"/>
    <w:next w:val="704"/>
    <w:link w:val="692"/>
    <w:uiPriority w:val="9"/>
    <w:semiHidden/>
    <w:rPr>
      <w:rFonts w:ascii="Calibri" w:hAnsi="Calibri" w:eastAsia="宋体" w:cs="Times New Roman"/>
      <w:b/>
      <w:bCs/>
      <w:sz w:val="24"/>
      <w:szCs w:val="24"/>
    </w:rPr>
  </w:style>
  <w:style w:type="character" w:styleId="705">
    <w:name w:val="标题 8 Char"/>
    <w:next w:val="705"/>
    <w:link w:val="693"/>
    <w:uiPriority w:val="9"/>
    <w:semiHidden/>
    <w:rPr>
      <w:rFonts w:ascii="Cambria" w:hAnsi="Cambria" w:eastAsia="宋体" w:cs="Times New Roman"/>
      <w:sz w:val="24"/>
      <w:szCs w:val="24"/>
    </w:rPr>
  </w:style>
  <w:style w:type="character" w:styleId="706">
    <w:name w:val="标题 9 Char"/>
    <w:next w:val="706"/>
    <w:link w:val="694"/>
    <w:uiPriority w:val="9"/>
    <w:semiHidden/>
    <w:rPr>
      <w:rFonts w:ascii="Cambria" w:hAnsi="Cambria" w:eastAsia="宋体" w:cs="Times New Roman"/>
      <w:szCs w:val="21"/>
    </w:rPr>
  </w:style>
  <w:style w:type="paragraph" w:styleId="707">
    <w:name w:val="列表 3"/>
    <w:basedOn w:val="685"/>
    <w:next w:val="707"/>
    <w:link w:val="685"/>
    <w:pPr>
      <w:ind w:left="100" w:hanging="200"/>
    </w:pPr>
    <w:rPr>
      <w:rFonts w:ascii="Times New Roman" w:hAnsi="Times New Roman"/>
      <w:szCs w:val="21"/>
    </w:rPr>
  </w:style>
  <w:style w:type="paragraph" w:styleId="708">
    <w:name w:val="正文缩进"/>
    <w:basedOn w:val="685"/>
    <w:next w:val="708"/>
    <w:link w:val="709"/>
    <w:qFormat/>
    <w:pPr>
      <w:ind w:firstLine="420"/>
    </w:pPr>
    <w:rPr>
      <w:sz w:val="20"/>
      <w:szCs w:val="20"/>
    </w:rPr>
  </w:style>
  <w:style w:type="character" w:styleId="709">
    <w:name w:val="正文缩进 Char1"/>
    <w:next w:val="709"/>
    <w:link w:val="708"/>
    <w:qFormat/>
    <w:rPr>
      <w:rFonts w:eastAsia="宋体"/>
    </w:rPr>
  </w:style>
  <w:style w:type="paragraph" w:styleId="710">
    <w:name w:val="文档结构图"/>
    <w:basedOn w:val="685"/>
    <w:next w:val="710"/>
    <w:link w:val="711"/>
    <w:semiHidden/>
    <w:pPr>
      <w:shd w:val="clear" w:color="auto" w:fill="000080"/>
    </w:pPr>
    <w:rPr>
      <w:sz w:val="20"/>
    </w:rPr>
  </w:style>
  <w:style w:type="character" w:styleId="711">
    <w:name w:val="文档结构图 Char"/>
    <w:next w:val="711"/>
    <w:link w:val="710"/>
    <w:uiPriority w:val="99"/>
    <w:semiHidden/>
    <w:rPr>
      <w:rFonts w:ascii="宋体" w:hAnsi="Calibri" w:eastAsia="宋体" w:cs="Times New Roman"/>
      <w:sz w:val="18"/>
      <w:szCs w:val="18"/>
    </w:rPr>
  </w:style>
  <w:style w:type="paragraph" w:styleId="712">
    <w:name w:val="批注文字"/>
    <w:basedOn w:val="685"/>
    <w:next w:val="712"/>
    <w:link w:val="713"/>
    <w:pPr>
      <w:jc w:val="left"/>
    </w:pPr>
    <w:rPr>
      <w:sz w:val="20"/>
    </w:rPr>
  </w:style>
  <w:style w:type="character" w:styleId="713">
    <w:name w:val="批注文字 Char"/>
    <w:next w:val="713"/>
    <w:link w:val="712"/>
    <w:uiPriority w:val="99"/>
    <w:semiHidden/>
    <w:rPr>
      <w:rFonts w:ascii="Calibri" w:hAnsi="Calibri" w:eastAsia="宋体" w:cs="Times New Roman"/>
      <w:szCs w:val="24"/>
    </w:rPr>
  </w:style>
  <w:style w:type="paragraph" w:styleId="714">
    <w:name w:val="正文文本 3"/>
    <w:basedOn w:val="685"/>
    <w:next w:val="714"/>
    <w:link w:val="715"/>
    <w:rPr>
      <w:rFonts w:ascii="仿宋_GB2312" w:hAnsi="Arial" w:eastAsia="仿宋_GB2312"/>
      <w:sz w:val="32"/>
      <w:szCs w:val="20"/>
    </w:rPr>
  </w:style>
  <w:style w:type="character" w:styleId="715">
    <w:name w:val="正文文本 3 Char"/>
    <w:next w:val="715"/>
    <w:link w:val="714"/>
    <w:uiPriority w:val="99"/>
    <w:semiHidden/>
    <w:rPr>
      <w:rFonts w:ascii="Calibri" w:hAnsi="Calibri" w:eastAsia="宋体" w:cs="Times New Roman"/>
      <w:sz w:val="16"/>
      <w:szCs w:val="16"/>
    </w:rPr>
  </w:style>
  <w:style w:type="paragraph" w:styleId="716">
    <w:name w:val="正文文本"/>
    <w:basedOn w:val="685"/>
    <w:next w:val="716"/>
    <w:link w:val="717"/>
    <w:rPr>
      <w:rFonts w:ascii="楷体_GB2312" w:hAnsi="Arial" w:eastAsia="楷体_GB2312"/>
      <w:sz w:val="28"/>
      <w:szCs w:val="20"/>
    </w:rPr>
  </w:style>
  <w:style w:type="character" w:styleId="717">
    <w:name w:val="正文文本 Char"/>
    <w:next w:val="717"/>
    <w:link w:val="716"/>
    <w:uiPriority w:val="99"/>
    <w:semiHidden/>
    <w:rPr>
      <w:rFonts w:ascii="Calibri" w:hAnsi="Calibri" w:eastAsia="宋体" w:cs="Times New Roman"/>
      <w:szCs w:val="24"/>
    </w:rPr>
  </w:style>
  <w:style w:type="paragraph" w:styleId="718">
    <w:name w:val="正文文本缩进"/>
    <w:basedOn w:val="685"/>
    <w:next w:val="718"/>
    <w:link w:val="719"/>
    <w:pPr>
      <w:ind w:firstLine="645"/>
    </w:pPr>
    <w:rPr>
      <w:rFonts w:ascii="楷体_GB2312" w:eastAsia="楷体_GB2312"/>
      <w:sz w:val="32"/>
      <w:szCs w:val="20"/>
    </w:rPr>
  </w:style>
  <w:style w:type="character" w:styleId="719">
    <w:name w:val="正文文本缩进 Char"/>
    <w:next w:val="719"/>
    <w:link w:val="718"/>
    <w:uiPriority w:val="99"/>
    <w:semiHidden/>
    <w:rPr>
      <w:rFonts w:ascii="Calibri" w:hAnsi="Calibri" w:eastAsia="宋体" w:cs="Times New Roman"/>
      <w:szCs w:val="24"/>
    </w:rPr>
  </w:style>
  <w:style w:type="paragraph" w:styleId="720">
    <w:name w:val="列表 2"/>
    <w:basedOn w:val="685"/>
    <w:next w:val="720"/>
    <w:link w:val="685"/>
    <w:pPr>
      <w:ind w:left="100" w:hanging="200"/>
    </w:pPr>
    <w:rPr>
      <w:rFonts w:ascii="Times New Roman" w:hAnsi="Times New Roman"/>
      <w:szCs w:val="21"/>
    </w:rPr>
  </w:style>
  <w:style w:type="paragraph" w:styleId="721">
    <w:name w:val="索引 4"/>
    <w:basedOn w:val="685"/>
    <w:next w:val="685"/>
    <w:link w:val="685"/>
    <w:semiHidden/>
    <w:qFormat/>
    <w:pPr>
      <w:ind w:left="1260"/>
    </w:pPr>
  </w:style>
  <w:style w:type="paragraph" w:styleId="722">
    <w:name w:val="纯文本"/>
    <w:basedOn w:val="685"/>
    <w:next w:val="722"/>
    <w:link w:val="723"/>
    <w:qFormat/>
    <w:rPr>
      <w:rFonts w:ascii="宋体" w:hAnsi="Courier New"/>
      <w:sz w:val="20"/>
      <w:szCs w:val="20"/>
    </w:rPr>
  </w:style>
  <w:style w:type="character" w:styleId="723">
    <w:name w:val="纯文本 Char1"/>
    <w:next w:val="723"/>
    <w:link w:val="722"/>
    <w:uiPriority w:val="99"/>
    <w:semiHidden/>
    <w:rPr>
      <w:rFonts w:ascii="宋体" w:hAnsi="Courier New" w:eastAsia="宋体" w:cs="Courier New"/>
      <w:szCs w:val="21"/>
    </w:rPr>
  </w:style>
  <w:style w:type="paragraph" w:styleId="724">
    <w:name w:val="日期"/>
    <w:basedOn w:val="685"/>
    <w:next w:val="685"/>
    <w:link w:val="725"/>
    <w:rPr>
      <w:sz w:val="24"/>
      <w:szCs w:val="20"/>
    </w:rPr>
  </w:style>
  <w:style w:type="character" w:styleId="725">
    <w:name w:val="日期 Char"/>
    <w:next w:val="725"/>
    <w:link w:val="724"/>
    <w:uiPriority w:val="99"/>
    <w:semiHidden/>
    <w:rPr>
      <w:rFonts w:ascii="Calibri" w:hAnsi="Calibri" w:eastAsia="宋体" w:cs="Times New Roman"/>
      <w:szCs w:val="24"/>
    </w:rPr>
  </w:style>
  <w:style w:type="paragraph" w:styleId="726">
    <w:name w:val="正文文本缩进 2"/>
    <w:basedOn w:val="685"/>
    <w:next w:val="726"/>
    <w:link w:val="727"/>
    <w:pPr>
      <w:ind w:firstLine="560"/>
    </w:pPr>
    <w:rPr>
      <w:rFonts w:ascii="宋体" w:hAnsi="宋体"/>
      <w:sz w:val="28"/>
    </w:rPr>
  </w:style>
  <w:style w:type="character" w:styleId="727">
    <w:name w:val="正文文本缩进 2 Char"/>
    <w:next w:val="727"/>
    <w:link w:val="726"/>
    <w:uiPriority w:val="99"/>
    <w:semiHidden/>
    <w:rPr>
      <w:rFonts w:ascii="Calibri" w:hAnsi="Calibri" w:eastAsia="宋体" w:cs="Times New Roman"/>
      <w:szCs w:val="24"/>
    </w:rPr>
  </w:style>
  <w:style w:type="paragraph" w:styleId="728">
    <w:name w:val="批注框文本"/>
    <w:basedOn w:val="685"/>
    <w:next w:val="728"/>
    <w:link w:val="729"/>
    <w:semiHidden/>
    <w:rPr>
      <w:sz w:val="18"/>
      <w:szCs w:val="18"/>
    </w:rPr>
  </w:style>
  <w:style w:type="character" w:styleId="729">
    <w:name w:val="批注框文本 Char"/>
    <w:next w:val="729"/>
    <w:link w:val="728"/>
    <w:uiPriority w:val="99"/>
    <w:semiHidden/>
    <w:rPr>
      <w:rFonts w:ascii="Calibri" w:hAnsi="Calibri" w:eastAsia="宋体" w:cs="Times New Roman"/>
      <w:sz w:val="18"/>
      <w:szCs w:val="18"/>
    </w:rPr>
  </w:style>
  <w:style w:type="paragraph" w:styleId="730">
    <w:name w:val="页脚"/>
    <w:basedOn w:val="685"/>
    <w:next w:val="730"/>
    <w:link w:val="731"/>
    <w:pPr>
      <w:jc w:val="left"/>
      <w:tabs>
        <w:tab w:val="center" w:pos="4153" w:leader="none"/>
        <w:tab w:val="right" w:pos="8306" w:leader="none"/>
      </w:tabs>
    </w:pPr>
    <w:rPr>
      <w:sz w:val="18"/>
      <w:szCs w:val="20"/>
    </w:rPr>
  </w:style>
  <w:style w:type="character" w:styleId="731">
    <w:name w:val="页脚 Char"/>
    <w:next w:val="731"/>
    <w:link w:val="730"/>
    <w:uiPriority w:val="99"/>
    <w:semiHidden/>
    <w:rPr>
      <w:rFonts w:ascii="Calibri" w:hAnsi="Calibri" w:eastAsia="宋体" w:cs="Times New Roman"/>
      <w:sz w:val="18"/>
      <w:szCs w:val="18"/>
    </w:rPr>
  </w:style>
  <w:style w:type="paragraph" w:styleId="732">
    <w:name w:val="页眉"/>
    <w:basedOn w:val="685"/>
    <w:next w:val="732"/>
    <w:link w:val="733"/>
    <w:uiPriority w:val="99"/>
    <w:pPr>
      <w:jc w:val="center"/>
      <w:tabs>
        <w:tab w:val="center" w:pos="4153" w:leader="none"/>
        <w:tab w:val="right" w:pos="8306" w:leader="none"/>
      </w:tabs>
      <w:pBdr>
        <w:bottom w:val="single" w:color="000000" w:sz="6" w:space="1"/>
      </w:pBdr>
    </w:pPr>
    <w:rPr>
      <w:sz w:val="18"/>
      <w:szCs w:val="18"/>
    </w:rPr>
  </w:style>
  <w:style w:type="character" w:styleId="733">
    <w:name w:val="页眉 Char"/>
    <w:next w:val="733"/>
    <w:link w:val="732"/>
    <w:uiPriority w:val="99"/>
    <w:rPr>
      <w:rFonts w:ascii="Calibri" w:hAnsi="Calibri" w:eastAsia="宋体" w:cs="Times New Roman"/>
      <w:sz w:val="18"/>
      <w:szCs w:val="18"/>
    </w:rPr>
  </w:style>
  <w:style w:type="paragraph" w:styleId="734">
    <w:name w:val="目录 1"/>
    <w:basedOn w:val="685"/>
    <w:next w:val="685"/>
    <w:link w:val="685"/>
    <w:uiPriority w:val="39"/>
    <w:unhideWhenUsed/>
  </w:style>
  <w:style w:type="paragraph" w:styleId="735">
    <w:name w:val="列表"/>
    <w:basedOn w:val="685"/>
    <w:next w:val="735"/>
    <w:link w:val="685"/>
    <w:pPr>
      <w:ind w:left="200" w:hanging="200"/>
    </w:pPr>
    <w:rPr>
      <w:rFonts w:ascii="Times New Roman" w:hAnsi="Times New Roman"/>
      <w:szCs w:val="21"/>
    </w:rPr>
  </w:style>
  <w:style w:type="paragraph" w:styleId="736">
    <w:name w:val="正文文本缩进 3"/>
    <w:basedOn w:val="685"/>
    <w:next w:val="736"/>
    <w:link w:val="737"/>
    <w:pPr>
      <w:ind w:firstLine="523"/>
    </w:pPr>
    <w:rPr>
      <w:rFonts w:ascii="仿宋_GB2312" w:hAnsi="宋体" w:eastAsia="仿宋_GB2312"/>
      <w:sz w:val="24"/>
    </w:rPr>
  </w:style>
  <w:style w:type="character" w:styleId="737">
    <w:name w:val="正文文本缩进 3 Char"/>
    <w:next w:val="737"/>
    <w:link w:val="736"/>
    <w:uiPriority w:val="99"/>
    <w:semiHidden/>
    <w:rPr>
      <w:rFonts w:ascii="Calibri" w:hAnsi="Calibri" w:eastAsia="宋体" w:cs="Times New Roman"/>
      <w:sz w:val="16"/>
      <w:szCs w:val="16"/>
    </w:rPr>
  </w:style>
  <w:style w:type="paragraph" w:styleId="738">
    <w:name w:val="图表目录"/>
    <w:basedOn w:val="685"/>
    <w:next w:val="685"/>
    <w:link w:val="685"/>
    <w:pPr>
      <w:ind w:left="840" w:hanging="420"/>
    </w:pPr>
    <w:rPr>
      <w:rFonts w:ascii="Times New Roman" w:hAnsi="Times New Roman"/>
      <w:szCs w:val="21"/>
    </w:rPr>
  </w:style>
  <w:style w:type="paragraph" w:styleId="739">
    <w:name w:val="目录 2"/>
    <w:basedOn w:val="685"/>
    <w:next w:val="685"/>
    <w:link w:val="685"/>
    <w:uiPriority w:val="39"/>
    <w:unhideWhenUsed/>
    <w:pPr>
      <w:ind w:left="420"/>
    </w:pPr>
  </w:style>
  <w:style w:type="paragraph" w:styleId="740">
    <w:name w:val="正文文本 2"/>
    <w:basedOn w:val="685"/>
    <w:next w:val="740"/>
    <w:link w:val="741"/>
    <w:pPr>
      <w:jc w:val="center"/>
    </w:pPr>
    <w:rPr>
      <w:rFonts w:ascii="仿宋_GB2312" w:eastAsia="仿宋_GB2312"/>
      <w:sz w:val="44"/>
    </w:rPr>
  </w:style>
  <w:style w:type="character" w:styleId="741">
    <w:name w:val="正文文本 2 Char"/>
    <w:next w:val="741"/>
    <w:link w:val="740"/>
    <w:uiPriority w:val="99"/>
    <w:semiHidden/>
    <w:rPr>
      <w:rFonts w:ascii="Calibri" w:hAnsi="Calibri" w:eastAsia="宋体" w:cs="Times New Roman"/>
      <w:szCs w:val="24"/>
    </w:rPr>
  </w:style>
  <w:style w:type="paragraph" w:styleId="742">
    <w:name w:val="HTML 预设格式"/>
    <w:basedOn w:val="685"/>
    <w:next w:val="742"/>
    <w:link w:val="7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3">
    <w:name w:val="HTML 预设格式 Char"/>
    <w:next w:val="743"/>
    <w:link w:val="742"/>
    <w:uiPriority w:val="99"/>
    <w:semiHidden/>
    <w:rPr>
      <w:rFonts w:ascii="Courier New" w:hAnsi="Courier New" w:eastAsia="宋体" w:cs="Courier New"/>
      <w:sz w:val="20"/>
      <w:szCs w:val="20"/>
    </w:rPr>
  </w:style>
  <w:style w:type="paragraph" w:styleId="744">
    <w:name w:val="普通(网站)"/>
    <w:basedOn w:val="685"/>
    <w:next w:val="744"/>
    <w:link w:val="685"/>
    <w:unhideWhenUsed/>
    <w:qFormat/>
    <w:pPr>
      <w:jc w:val="left"/>
      <w:spacing w:before="100" w:beforeAutospacing="1" w:after="100" w:afterAutospacing="1"/>
      <w:widowControl/>
    </w:pPr>
    <w:rPr>
      <w:rFonts w:ascii="宋体" w:hAnsi="宋体" w:cs="宋体"/>
      <w:sz w:val="24"/>
    </w:rPr>
  </w:style>
  <w:style w:type="paragraph" w:styleId="745">
    <w:name w:val="索引 1"/>
    <w:basedOn w:val="685"/>
    <w:next w:val="685"/>
    <w:link w:val="685"/>
    <w:semiHidden/>
    <w:rPr>
      <w:rFonts w:ascii="宋体" w:hAnsi="宋体"/>
      <w:szCs w:val="18"/>
    </w:rPr>
  </w:style>
  <w:style w:type="paragraph" w:styleId="746">
    <w:name w:val="标题"/>
    <w:basedOn w:val="685"/>
    <w:next w:val="685"/>
    <w:link w:val="685"/>
    <w:qFormat/>
    <w:pPr>
      <w:jc w:val="center"/>
      <w:spacing w:before="240" w:after="60"/>
      <w:outlineLvl w:val="0"/>
    </w:pPr>
    <w:rPr>
      <w:rFonts w:ascii="等线 Light" w:hAnsi="等线 Light"/>
      <w:b/>
      <w:bCs/>
      <w:sz w:val="32"/>
      <w:szCs w:val="32"/>
    </w:rPr>
  </w:style>
  <w:style w:type="paragraph" w:styleId="747">
    <w:name w:val="批注主题"/>
    <w:basedOn w:val="712"/>
    <w:next w:val="712"/>
    <w:link w:val="748"/>
    <w:rPr>
      <w:b/>
      <w:bCs/>
    </w:rPr>
  </w:style>
  <w:style w:type="character" w:styleId="748">
    <w:name w:val="批注主题 Char"/>
    <w:next w:val="748"/>
    <w:link w:val="747"/>
    <w:uiPriority w:val="99"/>
    <w:semiHidden/>
    <w:rPr>
      <w:rFonts w:ascii="Calibri" w:hAnsi="Calibri" w:eastAsia="宋体" w:cs="Times New Roman"/>
      <w:b/>
      <w:bCs/>
      <w:szCs w:val="24"/>
    </w:rPr>
  </w:style>
  <w:style w:type="paragraph" w:styleId="749">
    <w:name w:val="正文首行缩进"/>
    <w:basedOn w:val="716"/>
    <w:next w:val="749"/>
    <w:link w:val="750"/>
    <w:unhideWhenUsed/>
    <w:pPr>
      <w:ind w:firstLine="420"/>
      <w:spacing w:after="120"/>
    </w:pPr>
    <w:rPr>
      <w:rFonts w:ascii="仿宋_GB2312" w:hAnsi="Times New Roman" w:eastAsia="仿宋_GB2312"/>
      <w:sz w:val="30"/>
      <w:szCs w:val="30"/>
    </w:rPr>
  </w:style>
  <w:style w:type="character" w:styleId="750">
    <w:name w:val="正文首行缩进 Char"/>
    <w:next w:val="750"/>
    <w:link w:val="749"/>
    <w:uiPriority w:val="99"/>
    <w:semiHidden/>
  </w:style>
  <w:style w:type="paragraph" w:styleId="751">
    <w:name w:val="正文首行缩进 2"/>
    <w:basedOn w:val="718"/>
    <w:next w:val="751"/>
    <w:link w:val="752"/>
    <w:unhideWhenUsed/>
    <w:pPr>
      <w:ind w:left="420" w:firstLine="420"/>
      <w:spacing w:after="120"/>
    </w:pPr>
    <w:rPr>
      <w:rFonts w:ascii="宋体" w:hAnsi="宋体"/>
      <w:sz w:val="21"/>
    </w:rPr>
  </w:style>
  <w:style w:type="character" w:styleId="752">
    <w:name w:val="正文首行缩进 2 Char"/>
    <w:next w:val="752"/>
    <w:link w:val="751"/>
    <w:uiPriority w:val="99"/>
    <w:semiHidden/>
  </w:style>
  <w:style w:type="character" w:styleId="753">
    <w:name w:val="要点"/>
    <w:next w:val="753"/>
    <w:link w:val="685"/>
    <w:qFormat/>
    <w:rPr>
      <w:b/>
      <w:bCs/>
    </w:rPr>
  </w:style>
  <w:style w:type="character" w:styleId="754">
    <w:name w:val="页码"/>
    <w:next w:val="754"/>
    <w:link w:val="685"/>
  </w:style>
  <w:style w:type="character" w:styleId="755">
    <w:name w:val="已访问的超链接"/>
    <w:next w:val="755"/>
    <w:link w:val="685"/>
    <w:unhideWhenUsed/>
    <w:rPr>
      <w:color w:val="800080"/>
      <w:u w:val="single"/>
    </w:rPr>
  </w:style>
  <w:style w:type="character" w:styleId="756">
    <w:name w:val="超链接"/>
    <w:next w:val="756"/>
    <w:link w:val="685"/>
    <w:uiPriority w:val="99"/>
    <w:rPr>
      <w:color w:val="0000ff"/>
      <w:u w:val="single"/>
    </w:rPr>
  </w:style>
  <w:style w:type="character" w:styleId="757">
    <w:name w:val="批注引用"/>
    <w:next w:val="757"/>
    <w:link w:val="685"/>
    <w:rPr>
      <w:sz w:val="21"/>
      <w:szCs w:val="21"/>
    </w:rPr>
  </w:style>
  <w:style w:type="character" w:styleId="758">
    <w:name w:val="标题 1 Char1"/>
    <w:next w:val="758"/>
    <w:link w:val="686"/>
    <w:rPr>
      <w:rFonts w:ascii="楷体_GB2312" w:hAnsi="Calibri" w:eastAsia="楷体_GB2312" w:cs="Times New Roman"/>
      <w:sz w:val="28"/>
      <w:szCs w:val="20"/>
    </w:rPr>
  </w:style>
  <w:style w:type="character" w:styleId="759">
    <w:name w:val="标题 2 Char1"/>
    <w:next w:val="759"/>
    <w:link w:val="687"/>
    <w:rPr>
      <w:rFonts w:ascii="Arial" w:hAnsi="Arial" w:eastAsia="幼圆" w:cs="Times New Roman"/>
      <w:b/>
      <w:sz w:val="44"/>
      <w:szCs w:val="20"/>
    </w:rPr>
  </w:style>
  <w:style w:type="character" w:styleId="760">
    <w:name w:val="标题 3 Char1"/>
    <w:next w:val="760"/>
    <w:link w:val="688"/>
    <w:rPr>
      <w:rFonts w:ascii="Calibri" w:hAnsi="Calibri" w:eastAsia="宋体" w:cs="Times New Roman"/>
      <w:b/>
      <w:sz w:val="32"/>
      <w:szCs w:val="20"/>
    </w:rPr>
  </w:style>
  <w:style w:type="character" w:styleId="761">
    <w:name w:val="标题 4 Char1"/>
    <w:next w:val="761"/>
    <w:link w:val="689"/>
    <w:rPr>
      <w:rFonts w:ascii="Arial" w:hAnsi="Arial" w:eastAsia="黑体" w:cs="Times New Roman"/>
      <w:b/>
      <w:bCs/>
      <w:sz w:val="28"/>
      <w:szCs w:val="28"/>
    </w:rPr>
  </w:style>
  <w:style w:type="character" w:styleId="762">
    <w:name w:val="标题 5 Char1"/>
    <w:next w:val="762"/>
    <w:link w:val="690"/>
    <w:rPr>
      <w:rFonts w:ascii="宋体" w:hAnsi="宋体" w:eastAsia="宋体" w:cs="Times New Roman"/>
      <w:b/>
      <w:bCs/>
      <w:szCs w:val="24"/>
    </w:rPr>
  </w:style>
  <w:style w:type="character" w:styleId="763">
    <w:name w:val="标题 6 Char1"/>
    <w:next w:val="763"/>
    <w:link w:val="691"/>
    <w:rPr>
      <w:rFonts w:ascii="Arial" w:hAnsi="Arial" w:eastAsia="黑体" w:cs="Times New Roman"/>
      <w:b/>
      <w:bCs/>
      <w:sz w:val="24"/>
      <w:szCs w:val="24"/>
    </w:rPr>
  </w:style>
  <w:style w:type="character" w:styleId="764">
    <w:name w:val="标题 7 Char1"/>
    <w:next w:val="764"/>
    <w:link w:val="692"/>
    <w:rPr>
      <w:rFonts w:ascii="Times New Roman" w:hAnsi="Times New Roman" w:eastAsia="宋体" w:cs="Times New Roman"/>
      <w:b/>
      <w:bCs/>
      <w:sz w:val="24"/>
      <w:szCs w:val="24"/>
    </w:rPr>
  </w:style>
  <w:style w:type="character" w:styleId="765">
    <w:name w:val="标题 8 Char1"/>
    <w:next w:val="765"/>
    <w:link w:val="693"/>
    <w:rPr>
      <w:rFonts w:ascii="Arial" w:hAnsi="Arial" w:eastAsia="黑体" w:cs="Times New Roman"/>
      <w:sz w:val="24"/>
      <w:szCs w:val="24"/>
    </w:rPr>
  </w:style>
  <w:style w:type="character" w:styleId="766">
    <w:name w:val="标题 9 Char1"/>
    <w:next w:val="766"/>
    <w:link w:val="694"/>
    <w:rPr>
      <w:rFonts w:ascii="Arial" w:hAnsi="Arial" w:eastAsia="黑体" w:cs="Times New Roman"/>
      <w:szCs w:val="21"/>
    </w:rPr>
  </w:style>
  <w:style w:type="character" w:styleId="767">
    <w:name w:val="文档结构图 Char1"/>
    <w:next w:val="767"/>
    <w:link w:val="710"/>
    <w:semiHidden/>
    <w:rPr>
      <w:szCs w:val="24"/>
      <w:shd w:val="clear" w:color="auto" w:fill="000080"/>
    </w:rPr>
  </w:style>
  <w:style w:type="character" w:styleId="768">
    <w:name w:val="批注文字 Char1"/>
    <w:next w:val="768"/>
    <w:link w:val="712"/>
    <w:rPr>
      <w:szCs w:val="24"/>
    </w:rPr>
  </w:style>
  <w:style w:type="character" w:styleId="769">
    <w:name w:val="正文文本 3 Char1"/>
    <w:next w:val="769"/>
    <w:link w:val="714"/>
    <w:rPr>
      <w:rFonts w:ascii="仿宋_GB2312" w:hAnsi="Arial" w:eastAsia="仿宋_GB2312"/>
      <w:sz w:val="32"/>
    </w:rPr>
  </w:style>
  <w:style w:type="character" w:styleId="770">
    <w:name w:val="正文文本 Char1"/>
    <w:next w:val="770"/>
    <w:link w:val="716"/>
    <w:rPr>
      <w:rFonts w:ascii="楷体_GB2312" w:hAnsi="Arial" w:eastAsia="楷体_GB2312"/>
      <w:sz w:val="28"/>
    </w:rPr>
  </w:style>
  <w:style w:type="character" w:styleId="771">
    <w:name w:val="正文文本缩进 Char1"/>
    <w:next w:val="771"/>
    <w:link w:val="718"/>
    <w:rPr>
      <w:rFonts w:ascii="楷体_GB2312" w:eastAsia="楷体_GB2312"/>
      <w:sz w:val="32"/>
    </w:rPr>
  </w:style>
  <w:style w:type="character" w:styleId="772">
    <w:name w:val="纯文本 Char2"/>
    <w:next w:val="772"/>
    <w:link w:val="722"/>
    <w:uiPriority w:val="99"/>
    <w:qFormat/>
    <w:rPr>
      <w:rFonts w:ascii="宋体" w:hAnsi="Courier New"/>
    </w:rPr>
  </w:style>
  <w:style w:type="character" w:styleId="773">
    <w:name w:val="日期 Char1"/>
    <w:next w:val="773"/>
    <w:link w:val="724"/>
    <w:rPr>
      <w:sz w:val="24"/>
    </w:rPr>
  </w:style>
  <w:style w:type="character" w:styleId="774">
    <w:name w:val="正文文本缩进 2 Char1"/>
    <w:next w:val="774"/>
    <w:link w:val="726"/>
    <w:rPr>
      <w:rFonts w:ascii="宋体" w:hAnsi="宋体"/>
      <w:sz w:val="28"/>
      <w:szCs w:val="24"/>
    </w:rPr>
  </w:style>
  <w:style w:type="character" w:styleId="775">
    <w:name w:val="批注框文本 Char1"/>
    <w:next w:val="775"/>
    <w:link w:val="728"/>
    <w:semiHidden/>
    <w:rPr>
      <w:sz w:val="18"/>
      <w:szCs w:val="18"/>
    </w:rPr>
  </w:style>
  <w:style w:type="character" w:styleId="776">
    <w:name w:val="页脚 Char1"/>
    <w:next w:val="776"/>
    <w:link w:val="730"/>
    <w:rPr>
      <w:sz w:val="18"/>
    </w:rPr>
  </w:style>
  <w:style w:type="character" w:styleId="777">
    <w:name w:val="页眉 Char1"/>
    <w:next w:val="777"/>
    <w:link w:val="732"/>
    <w:uiPriority w:val="99"/>
    <w:rPr>
      <w:sz w:val="18"/>
      <w:szCs w:val="18"/>
    </w:rPr>
  </w:style>
  <w:style w:type="character" w:styleId="778">
    <w:name w:val="正文文本缩进 3 Char1"/>
    <w:next w:val="778"/>
    <w:link w:val="736"/>
    <w:rPr>
      <w:rFonts w:ascii="仿宋_GB2312" w:hAnsi="宋体" w:eastAsia="仿宋_GB2312"/>
      <w:sz w:val="24"/>
      <w:szCs w:val="24"/>
    </w:rPr>
  </w:style>
  <w:style w:type="character" w:styleId="779">
    <w:name w:val="正文文本 2 Char1"/>
    <w:next w:val="779"/>
    <w:link w:val="740"/>
    <w:rPr>
      <w:rFonts w:ascii="仿宋_GB2312" w:eastAsia="仿宋_GB2312"/>
      <w:sz w:val="44"/>
      <w:szCs w:val="24"/>
    </w:rPr>
  </w:style>
  <w:style w:type="character" w:styleId="780">
    <w:name w:val="HTML 预设格式 Char1"/>
    <w:next w:val="780"/>
    <w:link w:val="742"/>
    <w:uiPriority w:val="99"/>
    <w:rPr>
      <w:rFonts w:ascii="黑体" w:hAnsi="Courier New" w:eastAsia="黑体" w:cs="Times New Roman"/>
      <w:sz w:val="20"/>
      <w:szCs w:val="20"/>
    </w:rPr>
  </w:style>
  <w:style w:type="character" w:styleId="781">
    <w:name w:val="批注主题 Char1"/>
    <w:next w:val="781"/>
    <w:link w:val="747"/>
    <w:rPr>
      <w:b/>
      <w:bCs/>
      <w:szCs w:val="24"/>
    </w:rPr>
  </w:style>
  <w:style w:type="character" w:styleId="782">
    <w:name w:val="正文首行缩进 Char1"/>
    <w:next w:val="782"/>
    <w:link w:val="749"/>
    <w:rPr>
      <w:rFonts w:ascii="仿宋_GB2312" w:hAnsi="Times New Roman" w:eastAsia="仿宋_GB2312"/>
      <w:sz w:val="30"/>
      <w:szCs w:val="30"/>
    </w:rPr>
  </w:style>
  <w:style w:type="character" w:styleId="783">
    <w:name w:val="正文首行缩进 2 Char1"/>
    <w:next w:val="783"/>
    <w:link w:val="751"/>
    <w:rPr>
      <w:rFonts w:ascii="宋体" w:hAnsi="宋体" w:eastAsia="楷体_GB2312"/>
      <w:sz w:val="21"/>
    </w:rPr>
  </w:style>
  <w:style w:type="paragraph" w:styleId="784">
    <w:name w:val="索引 41"/>
    <w:basedOn w:val="685"/>
    <w:next w:val="685"/>
    <w:link w:val="685"/>
    <w:uiPriority w:val="99"/>
    <w:unhideWhenUsed/>
    <w:qFormat/>
    <w:pPr>
      <w:ind w:left="600"/>
    </w:pPr>
    <w:rPr>
      <w:rFonts w:ascii="宋体"/>
      <w:b/>
      <w:position w:val="-10"/>
      <w:sz w:val="24"/>
      <w:szCs w:val="20"/>
    </w:rPr>
  </w:style>
  <w:style w:type="paragraph" w:styleId="785">
    <w:name w:val="_Style 35"/>
    <w:basedOn w:val="685"/>
    <w:next w:val="786"/>
    <w:link w:val="685"/>
    <w:uiPriority w:val="1"/>
    <w:qFormat/>
    <w:pPr>
      <w:ind w:firstLine="420"/>
    </w:pPr>
    <w:rPr>
      <w:szCs w:val="22"/>
    </w:rPr>
  </w:style>
  <w:style w:type="paragraph" w:styleId="786">
    <w:name w:val="列出段落"/>
    <w:basedOn w:val="685"/>
    <w:next w:val="786"/>
    <w:link w:val="685"/>
    <w:uiPriority w:val="34"/>
    <w:qFormat/>
    <w:pPr>
      <w:ind w:firstLine="420"/>
    </w:pPr>
  </w:style>
  <w:style w:type="character" w:styleId="787">
    <w:name w:val="标题2 Char"/>
    <w:next w:val="787"/>
    <w:link w:val="685"/>
    <w:rPr>
      <w:rFonts w:ascii="方正楷体_GBK" w:hAnsi="Book Antiqua" w:eastAsia="方正楷体_GBK"/>
      <w:sz w:val="32"/>
      <w:lang w:val="en-US" w:eastAsia="zh-CN" w:bidi="ar-SA"/>
    </w:rPr>
  </w:style>
  <w:style w:type="character" w:styleId="788">
    <w:name w:val="font5 Char"/>
    <w:next w:val="788"/>
    <w:link w:val="685"/>
    <w:rPr>
      <w:rFonts w:ascii="宋体" w:hAnsi="宋体" w:eastAsia="宋体"/>
      <w:sz w:val="28"/>
      <w:szCs w:val="28"/>
      <w:lang w:val="en-US" w:eastAsia="zh-CN" w:bidi="ar-SA"/>
    </w:rPr>
  </w:style>
  <w:style w:type="character" w:styleId="789">
    <w:name w:val="普通正文 Char"/>
    <w:next w:val="789"/>
    <w:link w:val="790"/>
    <w:qFormat/>
    <w:rPr>
      <w:rFonts w:ascii="Arial" w:hAnsi="Arial"/>
      <w:sz w:val="24"/>
      <w:szCs w:val="24"/>
    </w:rPr>
  </w:style>
  <w:style w:type="paragraph" w:styleId="790">
    <w:name w:val="普通正文"/>
    <w:basedOn w:val="685"/>
    <w:next w:val="790"/>
    <w:link w:val="789"/>
    <w:qFormat/>
    <w:pPr>
      <w:ind w:firstLine="480"/>
      <w:jc w:val="left"/>
      <w:spacing w:before="120" w:after="120" w:line="360" w:lineRule="auto"/>
    </w:pPr>
    <w:rPr>
      <w:rFonts w:ascii="Arial" w:hAnsi="Arial"/>
      <w:sz w:val="24"/>
    </w:rPr>
  </w:style>
  <w:style w:type="character" w:styleId="791">
    <w:name w:val="二级目录 Char"/>
    <w:next w:val="791"/>
    <w:link w:val="792"/>
    <w:rPr>
      <w:b/>
      <w:sz w:val="30"/>
      <w:szCs w:val="28"/>
      <w:lang w:val="en-US" w:eastAsia="zh-CN" w:bidi="ar-SA"/>
    </w:rPr>
  </w:style>
  <w:style w:type="paragraph" w:styleId="792">
    <w:name w:val="二级目录"/>
    <w:next w:val="685"/>
    <w:link w:val="791"/>
    <w:pPr>
      <w:ind w:left="907" w:hanging="907"/>
      <w:tabs>
        <w:tab w:val="left" w:pos="907" w:leader="none"/>
        <w:tab w:val="left" w:pos="1145" w:leader="none"/>
      </w:tabs>
      <w:outlineLvl w:val="1"/>
    </w:pPr>
    <w:rPr>
      <w:b/>
      <w:sz w:val="30"/>
      <w:szCs w:val="28"/>
      <w:lang w:val="en-US" w:eastAsia="zh-CN" w:bidi="ar-SA"/>
    </w:rPr>
  </w:style>
  <w:style w:type="character" w:styleId="793">
    <w:name w:val="正文文本缩进 字符"/>
    <w:next w:val="793"/>
    <w:link w:val="685"/>
    <w:rPr>
      <w:rFonts w:ascii="楷体_GB2312" w:hAnsi="Times New Roman" w:eastAsia="楷体_GB2312" w:cs="Times New Roman"/>
      <w:sz w:val="32"/>
      <w:szCs w:val="32"/>
    </w:rPr>
  </w:style>
  <w:style w:type="character" w:styleId="794">
    <w:name w:val="纯文本 字符1"/>
    <w:next w:val="794"/>
    <w:link w:val="685"/>
    <w:uiPriority w:val="99"/>
    <w:semiHidden/>
    <w:rPr>
      <w:rFonts w:ascii="等线" w:hAnsi="Courier New" w:cs="Courier New"/>
      <w:szCs w:val="21"/>
    </w:rPr>
  </w:style>
  <w:style w:type="character" w:styleId="795">
    <w:name w:val="列出段落 Char,Bullet List Char,numbered Char,FooterText Char,List Paragraph1 Char,Paragraphe de liste1 Char"/>
    <w:next w:val="795"/>
    <w:link w:val="796"/>
    <w:rPr>
      <w:rFonts w:ascii="Calibri" w:hAnsi="Calibri"/>
      <w:sz w:val="24"/>
      <w:szCs w:val="24"/>
      <w:lang w:eastAsia="en-US" w:bidi="en-US"/>
    </w:rPr>
  </w:style>
  <w:style w:type="paragraph" w:styleId="796">
    <w:name w:val="列出段落1"/>
    <w:basedOn w:val="685"/>
    <w:next w:val="796"/>
    <w:link w:val="795"/>
    <w:qFormat/>
    <w:pPr>
      <w:contextualSpacing/>
      <w:ind w:left="720"/>
      <w:jc w:val="left"/>
      <w:widowControl/>
    </w:pPr>
    <w:rPr>
      <w:sz w:val="24"/>
      <w:lang w:eastAsia="en-US" w:bidi="en-US"/>
    </w:rPr>
  </w:style>
  <w:style w:type="character" w:styleId="797">
    <w:name w:val="jj1"/>
    <w:next w:val="797"/>
    <w:link w:val="685"/>
    <w:rPr>
      <w:sz w:val="20"/>
      <w:szCs w:val="20"/>
      <w:u w:val="none"/>
    </w:rPr>
  </w:style>
  <w:style w:type="character" w:styleId="798">
    <w:name w:val="正文文本 字符"/>
    <w:next w:val="798"/>
    <w:link w:val="685"/>
    <w:rPr>
      <w:rFonts w:ascii="楷体_GB2312" w:hAnsi="Arial" w:eastAsia="楷体_GB2312" w:cs="Times New Roman"/>
      <w:sz w:val="28"/>
      <w:szCs w:val="28"/>
    </w:rPr>
  </w:style>
  <w:style w:type="character" w:styleId="799">
    <w:name w:val="纯文本 Char"/>
    <w:next w:val="799"/>
    <w:link w:val="685"/>
    <w:qFormat/>
    <w:rPr>
      <w:rFonts w:ascii="宋体" w:hAnsi="Courier New" w:cs="Courier New"/>
      <w:sz w:val="21"/>
      <w:szCs w:val="21"/>
    </w:rPr>
  </w:style>
  <w:style w:type="paragraph" w:styleId="800">
    <w:name w:val="font6"/>
    <w:basedOn w:val="685"/>
    <w:next w:val="800"/>
    <w:link w:val="685"/>
    <w:pPr>
      <w:jc w:val="left"/>
      <w:spacing w:before="100" w:beforeAutospacing="1" w:after="100" w:afterAutospacing="1"/>
      <w:widowControl/>
    </w:pPr>
    <w:rPr>
      <w:rFonts w:hint="eastAsia" w:ascii="宋体" w:hAnsi="宋体"/>
      <w:sz w:val="28"/>
      <w:szCs w:val="28"/>
      <w:u w:val="single"/>
    </w:rPr>
  </w:style>
  <w:style w:type="paragraph" w:styleId="801">
    <w:name w:val="font7"/>
    <w:basedOn w:val="685"/>
    <w:next w:val="801"/>
    <w:link w:val="685"/>
    <w:pPr>
      <w:jc w:val="left"/>
      <w:spacing w:before="100" w:beforeAutospacing="1" w:after="100" w:afterAutospacing="1"/>
      <w:widowControl/>
    </w:pPr>
    <w:rPr>
      <w:rFonts w:hint="eastAsia" w:ascii="宋体" w:hAnsi="宋体"/>
      <w:sz w:val="18"/>
      <w:szCs w:val="18"/>
    </w:rPr>
  </w:style>
  <w:style w:type="paragraph" w:styleId="802">
    <w:name w:val="图标"/>
    <w:basedOn w:val="685"/>
    <w:next w:val="685"/>
    <w:link w:val="68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3">
    <w:name w:val="招标"/>
    <w:basedOn w:val="685"/>
    <w:next w:val="803"/>
    <w:link w:val="685"/>
    <w:qFormat/>
    <w:pPr>
      <w:ind w:firstLine="420"/>
      <w:jc w:val="left"/>
      <w:spacing w:line="400" w:lineRule="exact"/>
    </w:pPr>
    <w:rPr>
      <w:rFonts w:ascii="宋体" w:hAnsi="宋体"/>
    </w:rPr>
  </w:style>
  <w:style w:type="paragraph" w:styleId="804">
    <w:name w:val="4"/>
    <w:basedOn w:val="685"/>
    <w:next w:val="736"/>
    <w:link w:val="685"/>
    <w:pPr>
      <w:ind w:firstLine="420"/>
      <w:spacing w:line="360" w:lineRule="auto"/>
    </w:pPr>
    <w:rPr>
      <w:rFonts w:ascii="Times New Roman" w:hAnsi="Times New Roman"/>
      <w:color w:val="ff0000"/>
      <w:sz w:val="24"/>
    </w:rPr>
  </w:style>
  <w:style w:type="paragraph" w:styleId="805">
    <w:name w:val="Char Char Char Char"/>
    <w:basedOn w:val="710"/>
    <w:next w:val="805"/>
    <w:link w:val="685"/>
    <w:pPr>
      <w:spacing w:line="360" w:lineRule="auto"/>
    </w:pPr>
    <w:rPr>
      <w:rFonts w:ascii="Tahoma" w:hAnsi="Tahoma"/>
      <w:sz w:val="24"/>
    </w:rPr>
  </w:style>
  <w:style w:type="paragraph" w:styleId="806">
    <w:name w:val="正文 1.1.1"/>
    <w:basedOn w:val="685"/>
    <w:next w:val="685"/>
    <w:link w:val="685"/>
    <w:pPr>
      <w:numPr>
        <w:ilvl w:val="2"/>
        <w:numId w:val="2"/>
      </w:numPr>
      <w:spacing w:line="360" w:lineRule="auto"/>
      <w:tabs>
        <w:tab w:val="left" w:pos="851" w:leader="none"/>
      </w:tabs>
      <w:outlineLvl w:val="2"/>
    </w:pPr>
    <w:rPr>
      <w:rFonts w:ascii="宋体" w:hAnsi="宋体"/>
      <w:color w:val="000000"/>
      <w:sz w:val="28"/>
      <w:szCs w:val="21"/>
    </w:rPr>
  </w:style>
  <w:style w:type="paragraph" w:styleId="807">
    <w:name w:val="普通 (Web)"/>
    <w:basedOn w:val="685"/>
    <w:next w:val="807"/>
    <w:link w:val="685"/>
    <w:pPr>
      <w:jc w:val="left"/>
      <w:spacing w:before="100" w:beforeAutospacing="1" w:after="100" w:afterAutospacing="1"/>
      <w:widowControl/>
    </w:pPr>
    <w:rPr>
      <w:rFonts w:ascii="宋体" w:hAnsi="宋体"/>
      <w:sz w:val="24"/>
    </w:rPr>
  </w:style>
  <w:style w:type="paragraph" w:styleId="808">
    <w:name w:val="xl24"/>
    <w:basedOn w:val="685"/>
    <w:next w:val="808"/>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9">
    <w:name w:val="xl28"/>
    <w:basedOn w:val="685"/>
    <w:next w:val="809"/>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0">
    <w:name w:val="正文空2格  1."/>
    <w:basedOn w:val="685"/>
    <w:next w:val="810"/>
    <w:link w:val="685"/>
    <w:pPr>
      <w:ind w:firstLine="480"/>
      <w:spacing w:line="360" w:lineRule="auto"/>
    </w:pPr>
    <w:rPr>
      <w:rFonts w:ascii="宋体" w:eastAsia="仿宋" w:cs="宋体"/>
      <w:sz w:val="28"/>
      <w:szCs w:val="20"/>
    </w:rPr>
  </w:style>
  <w:style w:type="paragraph" w:styleId="811">
    <w:name w:val="xl25"/>
    <w:basedOn w:val="685"/>
    <w:next w:val="811"/>
    <w:link w:val="685"/>
    <w:pPr>
      <w:jc w:val="center"/>
      <w:spacing w:before="100" w:beforeAutospacing="1" w:after="100" w:afterAutospacing="1"/>
      <w:widowControl/>
    </w:pPr>
    <w:rPr>
      <w:rFonts w:ascii="Arial Unicode MS" w:hAnsi="Arial Unicode MS" w:eastAsia="Arial Unicode MS" w:cs="Arial Unicode MS"/>
      <w:sz w:val="24"/>
    </w:rPr>
  </w:style>
  <w:style w:type="paragraph" w:styleId="812">
    <w:name w:val="xl26"/>
    <w:basedOn w:val="685"/>
    <w:next w:val="812"/>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3">
    <w:name w:val="默认段落字体 Para Char Char Char Char Char Char Char Char Char1 Char Char Char Char Char Char Char"/>
    <w:basedOn w:val="710"/>
    <w:next w:val="813"/>
    <w:link w:val="685"/>
    <w:rPr>
      <w:rFonts w:ascii="Tahoma" w:hAnsi="Tahoma"/>
      <w:sz w:val="24"/>
    </w:rPr>
  </w:style>
  <w:style w:type="paragraph" w:styleId="814">
    <w:name w:val="Char"/>
    <w:basedOn w:val="685"/>
    <w:next w:val="814"/>
    <w:link w:val="685"/>
    <w:pPr>
      <w:ind w:firstLine="561"/>
      <w:jc w:val="left"/>
      <w:tabs>
        <w:tab w:val="left" w:pos="360" w:leader="none"/>
      </w:tabs>
    </w:pPr>
    <w:rPr>
      <w:sz w:val="24"/>
      <w:u w:val="single"/>
    </w:rPr>
  </w:style>
  <w:style w:type="paragraph" w:styleId="815">
    <w:name w:val="样式1"/>
    <w:basedOn w:val="685"/>
    <w:next w:val="815"/>
    <w:link w:val="685"/>
    <w:pPr>
      <w:numPr>
        <w:ilvl w:val="0"/>
        <w:numId w:val="3"/>
      </w:numPr>
      <w:tabs>
        <w:tab w:val="left" w:pos="709" w:leader="none"/>
      </w:tabs>
    </w:pPr>
    <w:rPr>
      <w:rFonts w:ascii="宋体" w:hAnsi="宋体"/>
      <w:szCs w:val="21"/>
    </w:rPr>
  </w:style>
  <w:style w:type="paragraph" w:styleId="816">
    <w:name w:val="xl47"/>
    <w:basedOn w:val="685"/>
    <w:next w:val="816"/>
    <w:link w:val="685"/>
    <w:pPr>
      <w:jc w:val="center"/>
      <w:spacing w:before="100" w:beforeAutospacing="1" w:after="100" w:afterAutospacing="1"/>
      <w:widowControl/>
    </w:pPr>
    <w:rPr>
      <w:rFonts w:hint="eastAsia" w:ascii="方正姚体" w:hAnsi="宋体" w:eastAsia="方正姚体"/>
      <w:b/>
      <w:bCs/>
      <w:sz w:val="36"/>
      <w:szCs w:val="36"/>
    </w:rPr>
  </w:style>
  <w:style w:type="paragraph" w:styleId="817">
    <w:name w:val="Char Char Char Char Char Char Char Char"/>
    <w:basedOn w:val="685"/>
    <w:next w:val="817"/>
    <w:link w:val="685"/>
    <w:pPr>
      <w:jc w:val="left"/>
      <w:spacing w:after="160" w:line="240" w:lineRule="exact"/>
      <w:widowControl/>
    </w:pPr>
    <w:rPr>
      <w:rFonts w:ascii="Verdana" w:hAnsi="Verdana"/>
      <w:sz w:val="20"/>
      <w:szCs w:val="20"/>
      <w:lang w:eastAsia="en-US"/>
    </w:rPr>
  </w:style>
  <w:style w:type="paragraph" w:styleId="818">
    <w:name w:val="标题1"/>
    <w:basedOn w:val="685"/>
    <w:next w:val="685"/>
    <w:link w:val="685"/>
    <w:pPr>
      <w:jc w:val="center"/>
      <w:spacing w:line="700" w:lineRule="atLeast"/>
      <w:tabs>
        <w:tab w:val="left" w:pos="9193" w:leader="none"/>
        <w:tab w:val="left" w:pos="9827" w:leader="none"/>
      </w:tabs>
    </w:pPr>
    <w:rPr>
      <w:rFonts w:eastAsia="方正小标宋_GBK"/>
      <w:sz w:val="44"/>
    </w:rPr>
  </w:style>
  <w:style w:type="paragraph" w:styleId="819">
    <w:name w:val="标书正文格式"/>
    <w:next w:val="819"/>
    <w:link w:val="685"/>
    <w:pPr>
      <w:ind w:firstLine="200"/>
      <w:spacing w:line="360" w:lineRule="auto"/>
    </w:pPr>
    <w:rPr>
      <w:rFonts w:eastAsia="楷体_GB2312"/>
      <w:sz w:val="24"/>
      <w:szCs w:val="24"/>
      <w:lang w:val="en-US" w:eastAsia="zh-CN" w:bidi="ar-SA"/>
    </w:rPr>
  </w:style>
  <w:style w:type="paragraph" w:styleId="820">
    <w:name w:val="正文 1.1"/>
    <w:basedOn w:val="685"/>
    <w:next w:val="806"/>
    <w:link w:val="68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1">
    <w:name w:val="网格表 31"/>
    <w:basedOn w:val="686"/>
    <w:next w:val="685"/>
    <w:link w:val="68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2">
    <w:name w:val="正文 第一章"/>
    <w:basedOn w:val="685"/>
    <w:next w:val="820"/>
    <w:link w:val="685"/>
    <w:pPr>
      <w:numPr>
        <w:ilvl w:val="0"/>
        <w:numId w:val="2"/>
      </w:numPr>
      <w:jc w:val="center"/>
      <w:pageBreakBefore/>
      <w:spacing w:before="240" w:after="240" w:line="480" w:lineRule="auto"/>
      <w:outlineLvl w:val="0"/>
    </w:pPr>
    <w:rPr>
      <w:rFonts w:ascii="黑体" w:hAnsi="宋体" w:eastAsia="黑体"/>
      <w:sz w:val="36"/>
      <w:szCs w:val="21"/>
    </w:rPr>
  </w:style>
  <w:style w:type="paragraph" w:styleId="823">
    <w:name w:val="附录1"/>
    <w:next w:val="823"/>
    <w:link w:val="685"/>
    <w:pPr>
      <w:numPr>
        <w:ilvl w:val="0"/>
        <w:numId w:val="4"/>
      </w:numPr>
      <w:spacing w:before="240" w:line="600" w:lineRule="atLeast"/>
      <w:tabs>
        <w:tab w:val="left" w:pos="907" w:leader="none"/>
      </w:tabs>
    </w:pPr>
    <w:rPr>
      <w:b/>
      <w:i/>
      <w:sz w:val="28"/>
      <w:lang w:val="en-US" w:eastAsia="zh-CN" w:bidi="ar-SA"/>
    </w:rPr>
  </w:style>
  <w:style w:type="paragraph" w:styleId="824">
    <w:name w:val="Char Char Char Char1 Char Char Char"/>
    <w:basedOn w:val="710"/>
    <w:next w:val="824"/>
    <w:link w:val="685"/>
    <w:pPr>
      <w:spacing w:line="360" w:lineRule="auto"/>
    </w:pPr>
    <w:rPr>
      <w:rFonts w:ascii="Tahoma" w:hAnsi="Tahoma"/>
      <w:sz w:val="24"/>
    </w:rPr>
  </w:style>
  <w:style w:type="paragraph" w:styleId="825">
    <w:name w:val=" Char"/>
    <w:basedOn w:val="685"/>
    <w:next w:val="825"/>
    <w:link w:val="685"/>
    <w:rPr>
      <w:rFonts w:ascii="Tahoma" w:hAnsi="Tahoma"/>
      <w:sz w:val="24"/>
      <w:szCs w:val="20"/>
    </w:rPr>
  </w:style>
  <w:style w:type="paragraph" w:styleId="826">
    <w:name w:val="第四级"/>
    <w:basedOn w:val="685"/>
    <w:next w:val="685"/>
    <w:link w:val="685"/>
    <w:pPr>
      <w:numPr>
        <w:ilvl w:val="3"/>
        <w:numId w:val="2"/>
      </w:numPr>
      <w:spacing w:line="360" w:lineRule="auto"/>
      <w:tabs>
        <w:tab w:val="left" w:pos="1134" w:leader="none"/>
      </w:tabs>
    </w:pPr>
    <w:rPr>
      <w:rFonts w:ascii="宋体" w:hAnsi="宋体" w:eastAsia="仿宋"/>
      <w:sz w:val="28"/>
      <w:szCs w:val="21"/>
    </w:rPr>
  </w:style>
  <w:style w:type="paragraph" w:styleId="827">
    <w:name w:val="HTML 预先格式化"/>
    <w:basedOn w:val="685"/>
    <w:next w:val="827"/>
    <w:link w:val="6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8">
    <w:name w:val="Coms Alinea"/>
    <w:next w:val="828"/>
    <w:link w:val="685"/>
    <w:pPr>
      <w:widowControl w:val="off"/>
    </w:pPr>
    <w:rPr>
      <w:rFonts w:ascii="Arial" w:hAnsi="Arial" w:cs="Arial"/>
      <w:lang w:val="en-US" w:eastAsia="zh-CN" w:bidi="ar-SA"/>
    </w:rPr>
  </w:style>
  <w:style w:type="paragraph" w:styleId="829">
    <w:name w:val="标题2"/>
    <w:basedOn w:val="685"/>
    <w:next w:val="685"/>
    <w:link w:val="685"/>
    <w:pPr>
      <w:jc w:val="center"/>
    </w:pPr>
    <w:rPr>
      <w:rFonts w:eastAsia="方正楷体_GBK"/>
    </w:rPr>
  </w:style>
  <w:style w:type="paragraph" w:styleId="830">
    <w:name w:val="浅色网格 - 着色 31"/>
    <w:basedOn w:val="685"/>
    <w:next w:val="830"/>
    <w:link w:val="685"/>
    <w:uiPriority w:val="34"/>
    <w:qFormat/>
    <w:pPr>
      <w:ind w:firstLine="420"/>
    </w:pPr>
    <w:rPr>
      <w:szCs w:val="22"/>
    </w:rPr>
  </w:style>
  <w:style w:type="paragraph" w:styleId="831">
    <w:name w:val="Table Text"/>
    <w:next w:val="831"/>
    <w:link w:val="685"/>
    <w:pPr>
      <w:jc w:val="center"/>
      <w:spacing w:before="143" w:after="80"/>
    </w:pPr>
    <w:rPr>
      <w:rFonts w:ascii="仿宋_GB2312" w:hAnsi="宋体" w:eastAsia="仿宋_GB2312"/>
      <w:sz w:val="24"/>
      <w:lang w:val="en-US" w:eastAsia="zh-CN" w:bidi="ar-SA"/>
    </w:rPr>
  </w:style>
  <w:style w:type="paragraph" w:styleId="832">
    <w:name w:val="标题3"/>
    <w:basedOn w:val="685"/>
    <w:next w:val="685"/>
    <w:link w:val="685"/>
    <w:rPr>
      <w:rFonts w:eastAsia="方正黑体_GBK"/>
    </w:rPr>
  </w:style>
  <w:style w:type="paragraph" w:styleId="833">
    <w:name w:val="BioQuote Tekst"/>
    <w:basedOn w:val="685"/>
    <w:next w:val="833"/>
    <w:link w:val="685"/>
    <w:pPr>
      <w:ind w:right="-1"/>
    </w:pPr>
    <w:rPr>
      <w:rFonts w:ascii="Arial" w:hAnsi="Arial"/>
      <w:sz w:val="22"/>
      <w:szCs w:val="20"/>
      <w:lang w:eastAsia="en-US"/>
    </w:rPr>
  </w:style>
  <w:style w:type="paragraph" w:styleId="834">
    <w:name w:val=" Char Char Char Char1 Char Char"/>
    <w:basedOn w:val="685"/>
    <w:next w:val="834"/>
    <w:link w:val="685"/>
    <w:pPr>
      <w:tabs>
        <w:tab w:val="left" w:pos="360" w:leader="none"/>
      </w:tabs>
    </w:pPr>
    <w:rPr>
      <w:sz w:val="24"/>
    </w:rPr>
  </w:style>
  <w:style w:type="paragraph" w:styleId="835">
    <w:name w:val="font5"/>
    <w:basedOn w:val="685"/>
    <w:next w:val="835"/>
    <w:link w:val="685"/>
    <w:pPr>
      <w:jc w:val="left"/>
      <w:spacing w:before="100" w:beforeAutospacing="1" w:after="100" w:afterAutospacing="1"/>
      <w:widowControl/>
    </w:pPr>
    <w:rPr>
      <w:rFonts w:hint="eastAsia" w:ascii="宋体" w:hAnsi="宋体"/>
      <w:sz w:val="28"/>
      <w:szCs w:val="28"/>
    </w:rPr>
  </w:style>
  <w:style w:type="paragraph" w:styleId="836">
    <w:name w:val="Body Text(ch)"/>
    <w:basedOn w:val="685"/>
    <w:next w:val="716"/>
    <w:link w:val="685"/>
    <w:pPr>
      <w:spacing w:after="120"/>
    </w:pPr>
    <w:rPr>
      <w:rFonts w:ascii="宋体" w:hAnsi="Arial"/>
      <w:bCs/>
      <w:iCs/>
    </w:rPr>
  </w:style>
  <w:style w:type="paragraph" w:styleId="837">
    <w:name w:val="xl27"/>
    <w:basedOn w:val="685"/>
    <w:next w:val="837"/>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8">
    <w:name w:val="xl29"/>
    <w:basedOn w:val="685"/>
    <w:next w:val="838"/>
    <w:link w:val="68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9">
    <w:name w:val="xl30"/>
    <w:basedOn w:val="685"/>
    <w:next w:val="839"/>
    <w:link w:val="685"/>
    <w:pPr>
      <w:jc w:val="center"/>
      <w:spacing w:before="100" w:beforeAutospacing="1" w:after="100" w:afterAutospacing="1"/>
      <w:widowControl/>
    </w:pPr>
    <w:rPr>
      <w:rFonts w:ascii="宋体" w:hAnsi="宋体"/>
      <w:b/>
      <w:bCs/>
      <w:sz w:val="36"/>
      <w:szCs w:val="36"/>
    </w:rPr>
  </w:style>
  <w:style w:type="paragraph" w:styleId="840">
    <w:name w:val="table_1stline"/>
    <w:basedOn w:val="685"/>
    <w:next w:val="840"/>
    <w:link w:val="685"/>
    <w:pPr>
      <w:jc w:val="left"/>
      <w:spacing w:before="120"/>
      <w:widowControl/>
    </w:pPr>
    <w:rPr>
      <w:rFonts w:ascii="Times New Roman" w:hAnsi="Times New Roman"/>
      <w:bCs/>
      <w:sz w:val="20"/>
      <w:szCs w:val="20"/>
      <w:lang w:val="de-DE" w:eastAsia="de-DE"/>
    </w:rPr>
  </w:style>
  <w:style w:type="paragraph" w:styleId="841">
    <w:name w:val="table_lines"/>
    <w:basedOn w:val="685"/>
    <w:next w:val="841"/>
    <w:link w:val="685"/>
    <w:pPr>
      <w:jc w:val="left"/>
      <w:widowControl/>
    </w:pPr>
    <w:rPr>
      <w:rFonts w:ascii="Times New Roman" w:hAnsi="Times New Roman"/>
      <w:sz w:val="20"/>
      <w:szCs w:val="20"/>
      <w:lang w:val="de-DE" w:eastAsia="de-DE"/>
    </w:rPr>
  </w:style>
  <w:style w:type="paragraph" w:styleId="842">
    <w:name w:val="Char Char Char Char Char Char Char Char Char Char"/>
    <w:basedOn w:val="685"/>
    <w:next w:val="842"/>
    <w:link w:val="685"/>
    <w:pPr>
      <w:spacing w:line="360" w:lineRule="auto"/>
    </w:pPr>
    <w:rPr>
      <w:rFonts w:ascii="Times New Roman" w:hAnsi="Times New Roman"/>
      <w:sz w:val="24"/>
      <w:szCs w:val="20"/>
    </w:rPr>
  </w:style>
  <w:style w:type="paragraph" w:styleId="843">
    <w:name w:val="_Style 89"/>
    <w:basedOn w:val="685"/>
    <w:next w:val="830"/>
    <w:link w:val="685"/>
    <w:uiPriority w:val="34"/>
    <w:qFormat/>
    <w:pPr>
      <w:ind w:firstLine="420"/>
    </w:pPr>
    <w:rPr>
      <w:rFonts w:ascii="Times New Roman" w:hAnsi="Times New Roman"/>
    </w:rPr>
  </w:style>
  <w:style w:type="character" w:styleId="844">
    <w:name w:val="未处理的提及"/>
    <w:next w:val="844"/>
    <w:link w:val="685"/>
    <w:uiPriority w:val="99"/>
    <w:unhideWhenUsed/>
    <w:rPr>
      <w:color w:val="605e5c"/>
      <w:shd w:val="clear" w:color="auto" w:fill="e1dfdd"/>
    </w:rPr>
  </w:style>
  <w:style w:type="character" w:styleId="845">
    <w:name w:val="正文缩进 字符1"/>
    <w:next w:val="845"/>
    <w:link w:val="685"/>
    <w:qFormat/>
    <w:rPr>
      <w:rFonts w:eastAsia="宋体"/>
      <w:sz w:val="21"/>
      <w:lang w:val="en-US" w:eastAsia="zh-CN" w:bidi="ar-SA"/>
    </w:rPr>
  </w:style>
  <w:style w:type="paragraph" w:styleId="846">
    <w:name w:val="修订"/>
    <w:next w:val="846"/>
    <w:link w:val="685"/>
    <w:uiPriority w:val="99"/>
    <w:unhideWhenUsed/>
    <w:rPr>
      <w:sz w:val="21"/>
      <w:szCs w:val="24"/>
      <w:lang w:val="en-US" w:eastAsia="zh-CN" w:bidi="ar-SA"/>
    </w:rPr>
  </w:style>
  <w:style w:type="paragraph" w:styleId="847">
    <w:name w:val="_Style 159"/>
    <w:basedOn w:val="685"/>
    <w:next w:val="685"/>
    <w:link w:val="685"/>
    <w:uiPriority w:val="39"/>
    <w:pPr>
      <w:jc w:val="left"/>
      <w:spacing w:line="260" w:lineRule="exact"/>
      <w:tabs>
        <w:tab w:val="right" w:pos="9440" w:leader="dot"/>
      </w:tabs>
    </w:pPr>
    <w:rPr>
      <w:rFonts w:ascii="黑体" w:eastAsia="黑体"/>
      <w:b/>
      <w:bCs/>
      <w:smallCaps/>
      <w:sz w:val="18"/>
      <w:szCs w:val="44"/>
    </w:rPr>
  </w:style>
  <w:style w:type="character" w:styleId="848">
    <w:name w:val="正文缩进 Char"/>
    <w:next w:val="848"/>
    <w:link w:val="685"/>
    <w:rPr>
      <w:rFonts w:eastAsia="宋体" w:cs="Times New Roman"/>
      <w:sz w:val="21"/>
      <w:lang w:val="en-US" w:eastAsia="zh-CN" w:bidi="ar-SA"/>
    </w:rPr>
  </w:style>
  <w:style w:type="paragraph" w:styleId="849">
    <w:name w:val="样式3"/>
    <w:basedOn w:val="685"/>
    <w:next w:val="849"/>
    <w:link w:val="685"/>
    <w:qFormat/>
    <w:pPr>
      <w:spacing w:line="300" w:lineRule="auto"/>
    </w:pPr>
    <w:rPr>
      <w:rFonts w:ascii="宋体"/>
      <w:sz w:val="24"/>
    </w:rPr>
  </w:style>
  <w:style w:type="character" w:styleId="850">
    <w:name w:val="font31"/>
    <w:next w:val="850"/>
    <w:link w:val="685"/>
    <w:rPr>
      <w:rFonts w:ascii="仿宋_GB2312" w:eastAsia="仿宋_GB2312" w:cs="仿宋_GB2312"/>
      <w:i w:val="0"/>
      <w:iCs w:val="0"/>
      <w:color w:val="000000"/>
      <w:sz w:val="28"/>
      <w:szCs w:val="28"/>
      <w:u w:val="none"/>
    </w:rPr>
  </w:style>
  <w:style w:type="character" w:styleId="851">
    <w:name w:val="font41"/>
    <w:next w:val="851"/>
    <w:link w:val="685"/>
    <w:rPr>
      <w:rFonts w:ascii="Times New Roman" w:hAnsi="Times New Roman" w:cs="Times New Roman"/>
      <w:i w:val="0"/>
      <w:iCs w:val="0"/>
      <w:color w:val="000000"/>
      <w:sz w:val="28"/>
      <w:szCs w:val="28"/>
      <w:u w:val="none"/>
    </w:rPr>
  </w:style>
  <w:style w:type="character" w:styleId="852">
    <w:name w:val="NormalCharacter1"/>
    <w:next w:val="852"/>
    <w:link w:val="685"/>
    <w:semiHidden/>
    <w:qFormat/>
  </w:style>
  <w:style w:type="paragraph" w:styleId="853">
    <w:name w:val="首行缩进"/>
    <w:basedOn w:val="685"/>
    <w:next w:val="853"/>
    <w:link w:val="685"/>
    <w:uiPriority w:val="99"/>
    <w:qFormat/>
    <w:pPr>
      <w:ind w:left="420" w:firstLine="480"/>
      <w:spacing w:line="400" w:lineRule="exact"/>
    </w:pPr>
    <w:rPr>
      <w:szCs w:val="20"/>
    </w:rPr>
  </w:style>
  <w:style w:type="paragraph" w:styleId="854">
    <w:name w:val="0正文"/>
    <w:next w:val="854"/>
    <w:link w:val="685"/>
    <w:qFormat/>
    <w:pPr>
      <w:ind w:firstLine="200"/>
    </w:pPr>
    <w:rPr>
      <w:sz w:val="21"/>
      <w:szCs w:val="21"/>
      <w:lang w:val="en-US" w:eastAsia="zh-CN" w:bidi="ar-SA"/>
    </w:rPr>
  </w:style>
  <w:style w:type="paragraph" w:styleId="855">
    <w:name w:val="Heading #2|1"/>
    <w:basedOn w:val="685"/>
    <w:next w:val="855"/>
    <w:link w:val="685"/>
    <w:qFormat/>
    <w:pPr>
      <w:jc w:val="center"/>
      <w:spacing w:after="500" w:line="571" w:lineRule="exact"/>
      <w:outlineLvl w:val="1"/>
    </w:pPr>
    <w:rPr>
      <w:rFonts w:ascii="宋体" w:hAnsi="宋体" w:cs="宋体"/>
      <w:sz w:val="34"/>
      <w:szCs w:val="34"/>
      <w:lang w:val="zh-TW" w:eastAsia="zh-TW" w:bidi="zh-TW"/>
    </w:rPr>
  </w:style>
  <w:style w:type="paragraph" w:styleId="856">
    <w:name w:val="Body text|1"/>
    <w:basedOn w:val="685"/>
    <w:next w:val="856"/>
    <w:link w:val="685"/>
    <w:qFormat/>
    <w:pPr>
      <w:ind w:firstLine="400"/>
      <w:jc w:val="left"/>
      <w:spacing w:line="400" w:lineRule="auto"/>
    </w:pPr>
    <w:rPr>
      <w:rFonts w:ascii="宋体" w:hAnsi="宋体" w:cs="宋体"/>
      <w:sz w:val="28"/>
      <w:szCs w:val="28"/>
      <w:lang w:val="zh-TW" w:eastAsia="zh-TW" w:bidi="zh-TW"/>
    </w:rPr>
  </w:style>
  <w:style w:type="character" w:styleId="857">
    <w:name w:val="font21"/>
    <w:next w:val="857"/>
    <w:link w:val="685"/>
    <w:qFormat/>
    <w:rPr>
      <w:rFonts w:hint="eastAsia" w:ascii="宋体" w:hAnsi="宋体" w:eastAsia="宋体" w:cs="宋体"/>
      <w:b/>
      <w:bCs/>
      <w:color w:val="000000"/>
      <w:sz w:val="22"/>
      <w:szCs w:val="22"/>
      <w:u w:val="none"/>
    </w:rPr>
  </w:style>
  <w:style w:type="paragraph" w:styleId="858">
    <w:name w:val="标题 2_0"/>
    <w:basedOn w:val="685"/>
    <w:next w:val="685"/>
    <w:link w:val="685"/>
    <w:qFormat/>
    <w:pPr>
      <w:keepLines/>
      <w:keepNext/>
      <w:spacing w:before="260" w:after="260" w:line="415" w:lineRule="auto"/>
      <w:outlineLvl w:val="1"/>
    </w:pPr>
    <w:rPr>
      <w:rFonts w:ascii="Cambria" w:hAnsi="Cambria"/>
      <w:b/>
      <w:bCs/>
      <w:sz w:val="32"/>
      <w:szCs w:val="32"/>
    </w:rPr>
  </w:style>
  <w:style w:type="paragraph" w:styleId="859">
    <w:name w:val="正文首行缩进 21"/>
    <w:basedOn w:val="685"/>
    <w:next w:val="859"/>
    <w:link w:val="685"/>
    <w:qFormat/>
    <w:pPr>
      <w:ind w:left="420" w:firstLine="420"/>
    </w:pPr>
  </w:style>
  <w:style w:type="paragraph" w:styleId="860">
    <w:name w:val="paragraph"/>
    <w:basedOn w:val="685"/>
    <w:next w:val="860"/>
    <w:link w:val="685"/>
    <w:qFormat/>
    <w:pPr>
      <w:jc w:val="left"/>
      <w:spacing w:before="100" w:beforeAutospacing="1" w:after="100" w:afterAutospacing="1"/>
      <w:widowControl/>
    </w:pPr>
    <w:rPr>
      <w:rFonts w:ascii="宋体" w:hAnsi="宋体" w:cs="宋体"/>
      <w:sz w:val="24"/>
    </w:rPr>
  </w:style>
  <w:style w:type="paragraph" w:styleId="861">
    <w:name w:val="标题 11"/>
    <w:basedOn w:val="685"/>
    <w:next w:val="685"/>
    <w:link w:val="685"/>
    <w:qFormat/>
    <w:pPr>
      <w:ind w:left="100" w:right="100"/>
      <w:keepLines/>
      <w:keepNext/>
      <w:spacing w:before="120" w:after="120"/>
      <w:outlineLvl w:val="0"/>
    </w:pPr>
    <w:rPr>
      <w:b/>
      <w:bCs/>
      <w:szCs w:val="44"/>
    </w:rPr>
  </w:style>
  <w:style w:type="paragraph" w:styleId="862">
    <w:name w:val="纯文本1"/>
    <w:basedOn w:val="685"/>
    <w:next w:val="862"/>
    <w:link w:val="685"/>
    <w:qFormat/>
    <w:rPr>
      <w:rFonts w:ascii="宋体" w:hAnsi="Courier New"/>
      <w:sz w:val="20"/>
      <w:szCs w:val="21"/>
    </w:rPr>
  </w:style>
  <w:style w:type="character" w:styleId="13466" w:default="1">
    <w:name w:val="Default Paragraph Font"/>
    <w:uiPriority w:val="1"/>
    <w:semiHidden/>
    <w:unhideWhenUsed/>
  </w:style>
  <w:style w:type="numbering" w:styleId="13467" w:default="1">
    <w:name w:val="No List"/>
    <w:uiPriority w:val="99"/>
    <w:semiHidden/>
    <w:unhideWhenUsed/>
  </w:style>
  <w:style w:type="table" w:styleId="13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2</cp:revision>
  <dcterms:created xsi:type="dcterms:W3CDTF">2023-05-15T10:21:00Z</dcterms:created>
  <dcterms:modified xsi:type="dcterms:W3CDTF">2026-04-29T07:52:54Z</dcterms:modified>
</cp:coreProperties>
</file>